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AD32C">
      <w:pPr>
        <w:jc w:val="right"/>
        <w:rPr>
          <w:kern w:val="0"/>
          <w:sz w:val="24"/>
        </w:rPr>
      </w:pPr>
      <w:bookmarkStart w:id="0" w:name="_Hlk150300446"/>
      <w:bookmarkEnd w:id="0"/>
      <w:r>
        <w:rPr>
          <w:kern w:val="0"/>
          <w:sz w:val="24"/>
        </w:rPr>
        <w:drawing>
          <wp:inline distT="0" distB="0" distL="0" distR="0">
            <wp:extent cx="1933575" cy="84772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33575" cy="847725"/>
                    </a:xfrm>
                    <a:prstGeom prst="rect">
                      <a:avLst/>
                    </a:prstGeom>
                    <a:noFill/>
                    <a:ln>
                      <a:noFill/>
                    </a:ln>
                  </pic:spPr>
                </pic:pic>
              </a:graphicData>
            </a:graphic>
          </wp:inline>
        </w:drawing>
      </w:r>
      <w:r>
        <w:rPr>
          <w:kern w:val="0"/>
          <w:sz w:val="24"/>
        </w:rPr>
        <w:t xml:space="preserve">    </w:t>
      </w:r>
    </w:p>
    <w:p w14:paraId="64E3F9A7">
      <w:pPr>
        <w:spacing w:before="624" w:beforeLines="200" w:line="360" w:lineRule="auto"/>
        <w:jc w:val="center"/>
        <w:rPr>
          <w:b/>
          <w:spacing w:val="40"/>
          <w:sz w:val="52"/>
          <w:szCs w:val="52"/>
        </w:rPr>
      </w:pPr>
      <w:r>
        <w:rPr>
          <w:b/>
          <w:spacing w:val="40"/>
          <w:sz w:val="52"/>
          <w:szCs w:val="52"/>
        </w:rPr>
        <w:t>中华人民共和国国家计量技术规范</w:t>
      </w:r>
    </w:p>
    <w:p w14:paraId="18ED5E20">
      <w:pPr>
        <w:jc w:val="center"/>
        <w:rPr>
          <w:sz w:val="24"/>
        </w:rPr>
      </w:pPr>
    </w:p>
    <w:p w14:paraId="6540BF06">
      <w:bookmarkStart w:id="1" w:name="_Toc514316609"/>
      <w:r>
        <w:t xml:space="preserve">         </w:t>
      </w:r>
      <w:bookmarkStart w:id="2" w:name="_Toc101281453"/>
      <w:bookmarkStart w:id="3" w:name="_Toc101442443"/>
      <w:bookmarkStart w:id="4" w:name="_Toc54707736"/>
      <w:bookmarkStart w:id="5" w:name="_Toc529806650"/>
      <w:r>
        <w:t>JJF XXXX-XXXX</w:t>
      </w:r>
      <w:bookmarkEnd w:id="1"/>
      <w:bookmarkEnd w:id="2"/>
      <w:bookmarkEnd w:id="3"/>
      <w:bookmarkEnd w:id="4"/>
      <w:bookmarkEnd w:id="5"/>
    </w:p>
    <w:p w14:paraId="7FED3B5E">
      <w:pPr>
        <w:rPr>
          <w:sz w:val="24"/>
        </w:rPr>
      </w:pPr>
    </w:p>
    <w:p w14:paraId="4B0B7E75">
      <w:pPr>
        <w:rPr>
          <w:sz w:val="24"/>
        </w:rPr>
      </w:pPr>
      <w:r>
        <w:rPr>
          <w:sz w:val="20"/>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6221730" cy="0"/>
                <wp:effectExtent l="14605" t="13970" r="12065" b="14605"/>
                <wp:wrapNone/>
                <wp:docPr id="247851663" name="直线 2"/>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a:solidFill>
                            <a:srgbClr val="000000"/>
                          </a:solidFill>
                          <a:round/>
                        </a:ln>
                      </wps:spPr>
                      <wps:bodyPr/>
                    </wps:wsp>
                  </a:graphicData>
                </a:graphic>
              </wp:anchor>
            </w:drawing>
          </mc:Choice>
          <mc:Fallback>
            <w:pict>
              <v:line id="直线 2" o:spid="_x0000_s1026" o:spt="20" style="position:absolute;left:0pt;margin-left:-18pt;margin-top:0pt;height:0pt;width:489.9pt;z-index:251661312;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Mky6vUAAAABQEAAA8AAAAA&#10;AAAAAQAgAAAAIgAAAGRycy9kb3ducmV2LnhtbFBLAQIUABQAAAAIAIdO4kAkaeMS3wEAAKoDAAAO&#10;AAAAAAAAAAEAIAAAACMBAABkcnMvZTJvRG9jLnhtbFBLBQYAAAAABgAGAFkBAAB0BQAAAAA=&#10;">
                <v:fill on="f" focussize="0,0"/>
                <v:stroke weight="1.5pt" color="#000000" joinstyle="round"/>
                <v:imagedata o:title=""/>
                <o:lock v:ext="edit" aspectratio="f"/>
              </v:line>
            </w:pict>
          </mc:Fallback>
        </mc:AlternateContent>
      </w:r>
    </w:p>
    <w:p w14:paraId="12FF2B58">
      <w:pPr>
        <w:rPr>
          <w:sz w:val="24"/>
          <w:szCs w:val="24"/>
        </w:rPr>
      </w:pPr>
    </w:p>
    <w:p w14:paraId="622E8477">
      <w:pPr>
        <w:rPr>
          <w:sz w:val="24"/>
          <w:szCs w:val="24"/>
        </w:rPr>
      </w:pPr>
    </w:p>
    <w:p w14:paraId="2D9CBD98">
      <w:pPr>
        <w:rPr>
          <w:sz w:val="24"/>
          <w:szCs w:val="24"/>
        </w:rPr>
      </w:pPr>
    </w:p>
    <w:p w14:paraId="71224D6D">
      <w:pPr>
        <w:rPr>
          <w:sz w:val="24"/>
          <w:szCs w:val="24"/>
        </w:rPr>
      </w:pPr>
    </w:p>
    <w:p w14:paraId="69A1A967">
      <w:pPr>
        <w:adjustRightInd w:val="0"/>
        <w:snapToGrid w:val="0"/>
        <w:spacing w:line="360" w:lineRule="auto"/>
        <w:jc w:val="center"/>
        <w:rPr>
          <w:rFonts w:hint="eastAsia" w:ascii="黑体" w:hAnsi="黑体" w:eastAsia="黑体"/>
          <w:sz w:val="40"/>
          <w:szCs w:val="40"/>
        </w:rPr>
      </w:pPr>
      <w:r>
        <w:rPr>
          <w:rFonts w:hint="eastAsia" w:ascii="黑体" w:hAnsi="黑体" w:eastAsia="黑体"/>
          <w:sz w:val="40"/>
          <w:szCs w:val="40"/>
        </w:rPr>
        <w:t>材料摩擦磨损试验机系统切向刚度计量测试规范</w:t>
      </w:r>
    </w:p>
    <w:p w14:paraId="4F00FCCF">
      <w:pPr>
        <w:jc w:val="center"/>
        <w:rPr>
          <w:sz w:val="32"/>
          <w:szCs w:val="32"/>
        </w:rPr>
      </w:pPr>
      <w:r>
        <w:rPr>
          <w:sz w:val="32"/>
          <w:szCs w:val="32"/>
        </w:rPr>
        <w:t xml:space="preserve">Calibration Procedure for Tangential Stiffness of </w:t>
      </w:r>
    </w:p>
    <w:p w14:paraId="2E21B473">
      <w:pPr>
        <w:jc w:val="center"/>
        <w:rPr>
          <w:sz w:val="32"/>
          <w:szCs w:val="32"/>
        </w:rPr>
      </w:pPr>
      <w:r>
        <w:rPr>
          <w:sz w:val="32"/>
          <w:szCs w:val="32"/>
        </w:rPr>
        <w:t>Materials Tribological Testing Systems</w:t>
      </w:r>
    </w:p>
    <w:p w14:paraId="130B1371">
      <w:pPr>
        <w:jc w:val="center"/>
        <w:rPr>
          <w:sz w:val="32"/>
          <w:szCs w:val="32"/>
        </w:rPr>
      </w:pPr>
      <w:r>
        <w:rPr>
          <w:sz w:val="32"/>
          <w:szCs w:val="32"/>
        </w:rPr>
        <w:t>（</w:t>
      </w:r>
      <w:r>
        <w:rPr>
          <w:rFonts w:hint="eastAsia"/>
          <w:sz w:val="32"/>
          <w:szCs w:val="32"/>
          <w:lang w:val="en-US" w:eastAsia="zh-CN"/>
        </w:rPr>
        <w:t>征求意见</w:t>
      </w:r>
      <w:r>
        <w:rPr>
          <w:sz w:val="32"/>
          <w:szCs w:val="32"/>
        </w:rPr>
        <w:t>稿）</w:t>
      </w:r>
    </w:p>
    <w:p w14:paraId="2AF59BE3">
      <w:pPr>
        <w:rPr>
          <w:sz w:val="24"/>
          <w:szCs w:val="24"/>
        </w:rPr>
      </w:pPr>
    </w:p>
    <w:p w14:paraId="2B6A1208">
      <w:pPr>
        <w:rPr>
          <w:sz w:val="24"/>
          <w:szCs w:val="24"/>
        </w:rPr>
      </w:pPr>
    </w:p>
    <w:p w14:paraId="1F428A16">
      <w:pPr>
        <w:rPr>
          <w:sz w:val="24"/>
          <w:szCs w:val="24"/>
        </w:rPr>
      </w:pPr>
    </w:p>
    <w:p w14:paraId="56B824EA">
      <w:pPr>
        <w:rPr>
          <w:sz w:val="24"/>
          <w:szCs w:val="24"/>
        </w:rPr>
      </w:pPr>
    </w:p>
    <w:p w14:paraId="716D0450">
      <w:pPr>
        <w:rPr>
          <w:sz w:val="24"/>
          <w:szCs w:val="24"/>
        </w:rPr>
      </w:pPr>
    </w:p>
    <w:p w14:paraId="7E4B730F">
      <w:pPr>
        <w:rPr>
          <w:sz w:val="24"/>
          <w:szCs w:val="24"/>
        </w:rPr>
      </w:pPr>
    </w:p>
    <w:p w14:paraId="2F8A0C59">
      <w:pPr>
        <w:rPr>
          <w:sz w:val="24"/>
          <w:szCs w:val="24"/>
        </w:rPr>
      </w:pPr>
    </w:p>
    <w:p w14:paraId="5E087C96">
      <w:pPr>
        <w:rPr>
          <w:sz w:val="24"/>
          <w:szCs w:val="24"/>
        </w:rPr>
      </w:pPr>
    </w:p>
    <w:p w14:paraId="06A0608F">
      <w:pPr>
        <w:rPr>
          <w:sz w:val="24"/>
          <w:szCs w:val="24"/>
        </w:rPr>
      </w:pPr>
    </w:p>
    <w:p w14:paraId="51A50E29">
      <w:pPr>
        <w:rPr>
          <w:sz w:val="24"/>
          <w:szCs w:val="24"/>
        </w:rPr>
      </w:pPr>
    </w:p>
    <w:p w14:paraId="441D2E49">
      <w:pPr>
        <w:rPr>
          <w:b/>
          <w:bCs/>
          <w:sz w:val="28"/>
        </w:rPr>
      </w:pPr>
      <w:bookmarkStart w:id="6" w:name="_Toc511320447"/>
      <w:bookmarkStart w:id="7" w:name="_Toc511311514"/>
      <w:r>
        <w:rPr>
          <w:b/>
          <w:bCs/>
          <w:sz w:val="28"/>
        </w:rPr>
        <w:t>XXXX-XX-XX发布</w:t>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ab/>
      </w:r>
      <w:r>
        <w:rPr>
          <w:b/>
          <w:bCs/>
          <w:sz w:val="28"/>
        </w:rPr>
        <w:t xml:space="preserve">  XXXX-XX-XX实施</w:t>
      </w:r>
      <w:r>
        <w:rPr>
          <w:b/>
          <w:bCs/>
          <w:sz w:val="28"/>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453390</wp:posOffset>
                </wp:positionV>
                <wp:extent cx="6221730" cy="0"/>
                <wp:effectExtent l="14605" t="9525" r="12065" b="9525"/>
                <wp:wrapNone/>
                <wp:docPr id="2072129815" name="直线 3"/>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a:solidFill>
                            <a:srgbClr val="000000"/>
                          </a:solidFill>
                          <a:round/>
                        </a:ln>
                      </wps:spPr>
                      <wps:bodyPr/>
                    </wps:wsp>
                  </a:graphicData>
                </a:graphic>
              </wp:anchor>
            </w:drawing>
          </mc:Choice>
          <mc:Fallback>
            <w:pict>
              <v:line id="直线 3" o:spid="_x0000_s1026" o:spt="20" style="position:absolute;left:0pt;margin-left:-18pt;margin-top:35.7pt;height:0pt;width:489.9pt;z-index:251661312;mso-width-relative:page;mso-height-relative:page;" filled="f" stroked="t" coordsize="21600,21600" o:gfxdata="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yha1F1gAAAAkBAAAPAAAA&#10;AAAAAAEAIAAAACIAAABkcnMvZG93bnJldi54bWxQSwECFAAUAAAACACHTuJACA0IH94BAACrAwAA&#10;DgAAAAAAAAABACAAAAAlAQAAZHJzL2Uyb0RvYy54bWxQSwUGAAAAAAYABgBZAQAAdQUAAAAA&#10;">
                <v:fill on="f" focussize="0,0"/>
                <v:stroke weight="1.5pt" color="#000000" joinstyle="round"/>
                <v:imagedata o:title=""/>
                <o:lock v:ext="edit" aspectratio="f"/>
              </v:line>
            </w:pict>
          </mc:Fallback>
        </mc:AlternateContent>
      </w:r>
    </w:p>
    <w:p w14:paraId="2E8575DF">
      <w:pPr>
        <w:jc w:val="center"/>
        <w:rPr>
          <w:sz w:val="24"/>
        </w:rPr>
        <w:sectPr>
          <w:headerReference r:id="rId4" w:type="first"/>
          <w:footerReference r:id="rId6" w:type="first"/>
          <w:headerReference r:id="rId3" w:type="default"/>
          <w:footerReference r:id="rId5" w:type="default"/>
          <w:footnotePr>
            <w:numFmt w:val="decimalFullWidth"/>
            <w:numRestart w:val="eachPage"/>
          </w:footnotePr>
          <w:pgSz w:w="11906" w:h="16838"/>
          <w:pgMar w:top="1588" w:right="1418" w:bottom="1418" w:left="1418" w:header="851" w:footer="992" w:gutter="0"/>
          <w:cols w:space="720" w:num="1"/>
          <w:docGrid w:type="lines" w:linePitch="312" w:charSpace="0"/>
        </w:sectPr>
      </w:pPr>
      <w:r>
        <w:rPr>
          <w:b/>
          <w:spacing w:val="60"/>
          <w:sz w:val="44"/>
          <w:szCs w:val="44"/>
        </w:rPr>
        <w:t>国家市场监督管理总局</w:t>
      </w:r>
      <w:r>
        <w:rPr>
          <w:bCs/>
          <w:sz w:val="28"/>
        </w:rPr>
        <w:t>发 布</w:t>
      </w:r>
    </w:p>
    <w:p w14:paraId="5107AD33">
      <w:pPr>
        <w:tabs>
          <w:tab w:val="left" w:pos="6079"/>
        </w:tabs>
        <w:spacing w:line="700" w:lineRule="exact"/>
        <w:ind w:firstLine="482" w:firstLineChars="100"/>
        <w:rPr>
          <w:b/>
          <w:spacing w:val="20"/>
          <w:sz w:val="44"/>
          <w:szCs w:val="44"/>
        </w:rPr>
      </w:pPr>
    </w:p>
    <w:p w14:paraId="2ECF8157">
      <w:pPr>
        <w:tabs>
          <w:tab w:val="left" w:pos="6079"/>
        </w:tabs>
        <w:spacing w:line="700" w:lineRule="exact"/>
        <w:ind w:left="283" w:leftChars="135" w:right="4248" w:rightChars="2023"/>
        <w:rPr>
          <w:b/>
          <w:spacing w:val="20"/>
          <w:sz w:val="36"/>
          <w:szCs w:val="36"/>
        </w:rPr>
      </w:pPr>
      <w:r>
        <w:rPr>
          <w:b/>
          <w:spacing w:val="20"/>
          <w:sz w:val="36"/>
          <w:szCs w:val="36"/>
        </w:rPr>
        <mc:AlternateContent>
          <mc:Choice Requires="wps">
            <w:drawing>
              <wp:anchor distT="0" distB="0" distL="114300" distR="114300" simplePos="0" relativeHeight="251662336" behindDoc="0" locked="0" layoutInCell="1" allowOverlap="1">
                <wp:simplePos x="0" y="0"/>
                <wp:positionH relativeFrom="margin">
                  <wp:posOffset>4006850</wp:posOffset>
                </wp:positionH>
                <wp:positionV relativeFrom="paragraph">
                  <wp:posOffset>37465</wp:posOffset>
                </wp:positionV>
                <wp:extent cx="1475105" cy="440055"/>
                <wp:effectExtent l="0" t="0" r="0" b="0"/>
                <wp:wrapNone/>
                <wp:docPr id="2127955018" name="文本框 6"/>
                <wp:cNvGraphicFramePr/>
                <a:graphic xmlns:a="http://schemas.openxmlformats.org/drawingml/2006/main">
                  <a:graphicData uri="http://schemas.microsoft.com/office/word/2010/wordprocessingShape">
                    <wps:wsp>
                      <wps:cNvSpPr txBox="1"/>
                      <wps:spPr>
                        <a:xfrm>
                          <a:off x="0" y="0"/>
                          <a:ext cx="1475117" cy="439947"/>
                        </a:xfrm>
                        <a:prstGeom prst="rect">
                          <a:avLst/>
                        </a:prstGeom>
                        <a:solidFill>
                          <a:schemeClr val="lt1"/>
                        </a:solidFill>
                        <a:ln w="6350">
                          <a:noFill/>
                        </a:ln>
                      </wps:spPr>
                      <wps:txbx>
                        <w:txbxContent>
                          <w:p w14:paraId="1FFC724D">
                            <w:r>
                              <w:rPr>
                                <w:rFonts w:ascii="黑体" w:eastAsia="黑体" w:cs="黑体"/>
                                <w:bCs/>
                                <w:kern w:val="0"/>
                                <w:sz w:val="28"/>
                                <w:szCs w:val="28"/>
                              </w:rPr>
                              <w:t>JJF</w:t>
                            </w:r>
                            <w:r>
                              <w:rPr>
                                <w:rFonts w:hint="eastAsia" w:ascii="黑体" w:eastAsia="黑体" w:cs="黑体"/>
                                <w:bCs/>
                                <w:kern w:val="0"/>
                                <w:sz w:val="28"/>
                                <w:szCs w:val="28"/>
                              </w:rPr>
                              <w:t xml:space="preserve"> </w:t>
                            </w:r>
                            <w:r>
                              <w:rPr>
                                <w:rFonts w:ascii="黑体" w:eastAsia="黑体" w:cs="黑体"/>
                                <w:bCs/>
                                <w:kern w:val="0"/>
                                <w:sz w:val="28"/>
                                <w:szCs w:val="28"/>
                              </w:rPr>
                              <w:t>XXXX</w:t>
                            </w:r>
                            <w:r>
                              <w:rPr>
                                <w:rFonts w:ascii="黑体" w:eastAsia="黑体" w:cs="Courier New"/>
                                <w:bCs/>
                                <w:kern w:val="0"/>
                                <w:sz w:val="28"/>
                                <w:szCs w:val="28"/>
                              </w:rPr>
                              <w:t>—</w:t>
                            </w:r>
                            <w:r>
                              <w:rPr>
                                <w:rFonts w:ascii="黑体" w:eastAsia="黑体" w:cs="黑体"/>
                                <w:bCs/>
                                <w:kern w:val="0"/>
                                <w:sz w:val="28"/>
                                <w:szCs w:val="28"/>
                              </w:rPr>
                              <w:t>20XX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6" o:spid="_x0000_s1026" o:spt="202" type="#_x0000_t202" style="position:absolute;left:0pt;margin-left:315.5pt;margin-top:2.95pt;height:34.65pt;width:116.15pt;mso-position-horizontal-relative:margin;z-index:251662336;mso-width-relative:page;mso-height-relative:page;" fillcolor="#FFFFFF [3201]" filled="t" stroked="f" coordsize="21600,21600" o:gfxdata="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ua3mn1QAAAAgB&#10;AAAPAAAAAAAAAAEAIAAAACIAAABkcnMvZG93bnJldi54bWxQSwECFAAUAAAACACHTuJAqYT9B1cC&#10;AACYBAAADgAAAAAAAAABACAAAAAkAQAAZHJzL2Uyb0RvYy54bWxQSwUGAAAAAAYABgBZAQAA7QUA&#10;AAAA&#10;">
                <v:fill on="t" focussize="0,0"/>
                <v:stroke on="f" weight="0.5pt"/>
                <v:imagedata o:title=""/>
                <o:lock v:ext="edit" aspectratio="f"/>
                <v:textbox>
                  <w:txbxContent>
                    <w:p w14:paraId="1FFC724D">
                      <w:r>
                        <w:rPr>
                          <w:rFonts w:ascii="黑体" w:eastAsia="黑体" w:cs="黑体"/>
                          <w:bCs/>
                          <w:kern w:val="0"/>
                          <w:sz w:val="28"/>
                          <w:szCs w:val="28"/>
                        </w:rPr>
                        <w:t>JJF</w:t>
                      </w:r>
                      <w:r>
                        <w:rPr>
                          <w:rFonts w:hint="eastAsia" w:ascii="黑体" w:eastAsia="黑体" w:cs="黑体"/>
                          <w:bCs/>
                          <w:kern w:val="0"/>
                          <w:sz w:val="28"/>
                          <w:szCs w:val="28"/>
                        </w:rPr>
                        <w:t xml:space="preserve"> </w:t>
                      </w:r>
                      <w:r>
                        <w:rPr>
                          <w:rFonts w:ascii="黑体" w:eastAsia="黑体" w:cs="黑体"/>
                          <w:bCs/>
                          <w:kern w:val="0"/>
                          <w:sz w:val="28"/>
                          <w:szCs w:val="28"/>
                        </w:rPr>
                        <w:t>XXXX</w:t>
                      </w:r>
                      <w:r>
                        <w:rPr>
                          <w:rFonts w:ascii="黑体" w:eastAsia="黑体" w:cs="Courier New"/>
                          <w:bCs/>
                          <w:kern w:val="0"/>
                          <w:sz w:val="28"/>
                          <w:szCs w:val="28"/>
                        </w:rPr>
                        <w:t>—</w:t>
                      </w:r>
                      <w:r>
                        <w:rPr>
                          <w:rFonts w:ascii="黑体" w:eastAsia="黑体" w:cs="黑体"/>
                          <w:bCs/>
                          <w:kern w:val="0"/>
                          <w:sz w:val="28"/>
                          <w:szCs w:val="28"/>
                        </w:rPr>
                        <w:t>20XX</w:t>
                      </w:r>
                    </w:p>
                  </w:txbxContent>
                </v:textbox>
              </v:shape>
            </w:pict>
          </mc:Fallback>
        </mc:AlternateContent>
      </w:r>
      <w:r>
        <w:rPr>
          <w:rFonts w:hint="eastAsia"/>
          <w:b/>
          <w:spacing w:val="20"/>
          <w:sz w:val="36"/>
          <w:szCs w:val="36"/>
        </w:rPr>
        <w:t>材料摩擦磨损试验机系统切向刚度计量测试规范</w:t>
      </w:r>
    </w:p>
    <w:p w14:paraId="2E8C586B">
      <w:pPr>
        <w:tabs>
          <w:tab w:val="left" w:pos="6079"/>
        </w:tabs>
        <w:spacing w:line="700" w:lineRule="exact"/>
        <w:ind w:left="283" w:leftChars="135" w:right="4248" w:rightChars="2023"/>
        <w:rPr>
          <w:b/>
          <w:spacing w:val="20"/>
          <w:sz w:val="40"/>
        </w:rPr>
      </w:pPr>
      <w:r>
        <w:drawing>
          <wp:anchor distT="0" distB="0" distL="114300" distR="114300" simplePos="0" relativeHeight="251659264" behindDoc="1" locked="1" layoutInCell="1" allowOverlap="1">
            <wp:simplePos x="0" y="0"/>
            <wp:positionH relativeFrom="page">
              <wp:posOffset>4693285</wp:posOffset>
            </wp:positionH>
            <wp:positionV relativeFrom="page">
              <wp:posOffset>1158240</wp:posOffset>
            </wp:positionV>
            <wp:extent cx="1963420" cy="790575"/>
            <wp:effectExtent l="0" t="0" r="0" b="0"/>
            <wp:wrapNone/>
            <wp:docPr id="103" name="_x0000_s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_x0000_s11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63420" cy="790575"/>
                    </a:xfrm>
                    <a:prstGeom prst="rect">
                      <a:avLst/>
                    </a:prstGeom>
                    <a:noFill/>
                    <a:ln>
                      <a:noFill/>
                    </a:ln>
                  </pic:spPr>
                </pic:pic>
              </a:graphicData>
            </a:graphic>
          </wp:anchor>
        </w:drawing>
      </w:r>
      <w:r>
        <w:rPr>
          <w:spacing w:val="20"/>
          <w:sz w:val="28"/>
          <w:szCs w:val="28"/>
        </w:rPr>
        <w:t>JJF XXXX-XXXX</w:t>
      </w:r>
    </w:p>
    <w:p w14:paraId="0B815627">
      <w:pPr>
        <w:adjustRightInd w:val="0"/>
        <w:snapToGrid w:val="0"/>
        <w:spacing w:before="156" w:beforeLines="50" w:line="360" w:lineRule="auto"/>
        <w:ind w:right="3541" w:rightChars="1686"/>
        <w:jc w:val="center"/>
        <w:rPr>
          <w:sz w:val="28"/>
          <w:szCs w:val="28"/>
        </w:rPr>
      </w:pPr>
      <w:bookmarkStart w:id="8" w:name="OLE_LINK1"/>
      <w:r>
        <w:rPr>
          <w:sz w:val="28"/>
          <w:szCs w:val="28"/>
        </w:rPr>
        <w:t xml:space="preserve">Calibration Procedure for Tangential Stiffness of </w:t>
      </w:r>
      <w:r>
        <w:rPr>
          <w:rFonts w:hint="eastAsia"/>
          <w:sz w:val="28"/>
          <w:szCs w:val="28"/>
        </w:rPr>
        <w:t xml:space="preserve">Materials </w:t>
      </w:r>
      <w:r>
        <w:rPr>
          <w:sz w:val="28"/>
          <w:szCs w:val="28"/>
        </w:rPr>
        <w:t>Tribological Testing Systems</w:t>
      </w:r>
    </w:p>
    <w:bookmarkEnd w:id="8"/>
    <w:p w14:paraId="7BD2C345">
      <w:pPr>
        <w:rPr>
          <w:sz w:val="28"/>
        </w:rPr>
      </w:pPr>
      <w:r>
        <w:rPr>
          <w:sz w:val="28"/>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118110</wp:posOffset>
                </wp:positionV>
                <wp:extent cx="5805170" cy="0"/>
                <wp:effectExtent l="14605" t="12065" r="9525" b="16510"/>
                <wp:wrapNone/>
                <wp:docPr id="1356471475" name="直线 4"/>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a:solidFill>
                            <a:srgbClr val="000000"/>
                          </a:solidFill>
                          <a:round/>
                        </a:ln>
                      </wps:spPr>
                      <wps:bodyPr/>
                    </wps:wsp>
                  </a:graphicData>
                </a:graphic>
              </wp:anchor>
            </w:drawing>
          </mc:Choice>
          <mc:Fallback>
            <w:pict>
              <v:line id="直线 4" o:spid="_x0000_s1026" o:spt="20" style="position:absolute;left:0pt;margin-left:-1.5pt;margin-top:9.3pt;height:0pt;width:457.1pt;z-index:251660288;mso-width-relative:page;mso-height-relative:page;" filled="f" stroked="t" coordsize="21600,21600" o:gfxdata="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ASIt9UAAAAIAQAADwAA&#10;AAAAAAABACAAAAAiAAAAZHJzL2Rvd25yZXYueG1sUEsBAhQAFAAAAAgAh07iQP7WnM3gAQAAqwMA&#10;AA4AAAAAAAAAAQAgAAAAJAEAAGRycy9lMm9Eb2MueG1sUEsFBgAAAAAGAAYAWQEAAHYFAAAAAA==&#10;">
                <v:fill on="f" focussize="0,0"/>
                <v:stroke weight="1.5pt" color="#000000" joinstyle="round"/>
                <v:imagedata o:title=""/>
                <o:lock v:ext="edit" aspectratio="f"/>
              </v:line>
            </w:pict>
          </mc:Fallback>
        </mc:AlternateContent>
      </w:r>
    </w:p>
    <w:p w14:paraId="5F9A3B9B">
      <w:pPr>
        <w:ind w:left="-2" w:leftChars="-161" w:hanging="336" w:hangingChars="120"/>
        <w:rPr>
          <w:spacing w:val="6"/>
          <w:sz w:val="28"/>
        </w:rPr>
      </w:pPr>
      <w:r>
        <w:rPr>
          <w:sz w:val="28"/>
        </w:rPr>
        <w:t xml:space="preserve">  </w:t>
      </w:r>
    </w:p>
    <w:p w14:paraId="3AED87CB">
      <w:pPr>
        <w:rPr>
          <w:sz w:val="24"/>
        </w:rPr>
      </w:pPr>
    </w:p>
    <w:p w14:paraId="457F5275">
      <w:pPr>
        <w:rPr>
          <w:sz w:val="24"/>
        </w:rPr>
      </w:pPr>
    </w:p>
    <w:p w14:paraId="408B38EE">
      <w:pPr>
        <w:rPr>
          <w:sz w:val="24"/>
        </w:rPr>
      </w:pPr>
    </w:p>
    <w:p w14:paraId="3813E7EA">
      <w:pPr>
        <w:rPr>
          <w:sz w:val="24"/>
        </w:rPr>
      </w:pPr>
    </w:p>
    <w:p w14:paraId="6EB4D399">
      <w:pPr>
        <w:rPr>
          <w:sz w:val="24"/>
        </w:rPr>
      </w:pPr>
    </w:p>
    <w:p w14:paraId="2A267B63">
      <w:pPr>
        <w:rPr>
          <w:sz w:val="24"/>
        </w:rPr>
      </w:pPr>
    </w:p>
    <w:p w14:paraId="21584089">
      <w:pPr>
        <w:ind w:firstLine="1120" w:firstLineChars="400"/>
        <w:rPr>
          <w:sz w:val="28"/>
        </w:rPr>
      </w:pPr>
      <w:r>
        <w:rPr>
          <w:sz w:val="28"/>
        </w:rPr>
        <w:t>归</w:t>
      </w:r>
      <w:r>
        <w:rPr>
          <w:sz w:val="18"/>
          <w:szCs w:val="18"/>
        </w:rPr>
        <w:t xml:space="preserve">  </w:t>
      </w:r>
      <w:r>
        <w:rPr>
          <w:sz w:val="28"/>
        </w:rPr>
        <w:t>口</w:t>
      </w:r>
      <w:r>
        <w:rPr>
          <w:sz w:val="18"/>
          <w:szCs w:val="18"/>
        </w:rPr>
        <w:t xml:space="preserve">  </w:t>
      </w:r>
      <w:r>
        <w:rPr>
          <w:sz w:val="28"/>
        </w:rPr>
        <w:t>单</w:t>
      </w:r>
      <w:r>
        <w:rPr>
          <w:sz w:val="18"/>
          <w:szCs w:val="18"/>
        </w:rPr>
        <w:t xml:space="preserve">  </w:t>
      </w:r>
      <w:r>
        <w:rPr>
          <w:sz w:val="28"/>
        </w:rPr>
        <w:t>位</w:t>
      </w:r>
      <w:r>
        <w:rPr>
          <w:bCs/>
          <w:sz w:val="28"/>
        </w:rPr>
        <w:t>：</w:t>
      </w:r>
      <w:r>
        <w:rPr>
          <w:sz w:val="28"/>
        </w:rPr>
        <w:t>全国新材料与纳米计量技术委员会</w:t>
      </w:r>
    </w:p>
    <w:p w14:paraId="51B08AC1">
      <w:pPr>
        <w:ind w:firstLine="1120" w:firstLineChars="400"/>
        <w:rPr>
          <w:sz w:val="28"/>
        </w:rPr>
      </w:pPr>
      <w:r>
        <w:rPr>
          <w:sz w:val="28"/>
        </w:rPr>
        <w:t>主要起草单位：</w:t>
      </w:r>
    </w:p>
    <w:p w14:paraId="1E5373B5">
      <w:pPr>
        <w:ind w:firstLine="3080" w:firstLineChars="1100"/>
        <w:rPr>
          <w:sz w:val="28"/>
        </w:rPr>
      </w:pPr>
    </w:p>
    <w:p w14:paraId="028AB5CF">
      <w:pPr>
        <w:ind w:firstLine="1120" w:firstLineChars="400"/>
        <w:rPr>
          <w:sz w:val="28"/>
        </w:rPr>
      </w:pPr>
      <w:r>
        <w:rPr>
          <w:sz w:val="28"/>
        </w:rPr>
        <w:t>参加起草单位：</w:t>
      </w:r>
    </w:p>
    <w:p w14:paraId="4BB4B860">
      <w:pPr>
        <w:ind w:firstLine="3080" w:firstLineChars="1100"/>
        <w:rPr>
          <w:sz w:val="28"/>
        </w:rPr>
      </w:pPr>
    </w:p>
    <w:p w14:paraId="05E95462">
      <w:pPr>
        <w:ind w:firstLine="3080" w:firstLineChars="1100"/>
        <w:rPr>
          <w:sz w:val="28"/>
        </w:rPr>
      </w:pPr>
    </w:p>
    <w:p w14:paraId="75E43D57">
      <w:pPr>
        <w:ind w:firstLine="3080" w:firstLineChars="1100"/>
        <w:rPr>
          <w:sz w:val="28"/>
        </w:rPr>
      </w:pPr>
    </w:p>
    <w:p w14:paraId="2AD780B3">
      <w:pPr>
        <w:ind w:firstLine="3080" w:firstLineChars="1100"/>
        <w:rPr>
          <w:sz w:val="28"/>
        </w:rPr>
      </w:pPr>
    </w:p>
    <w:p w14:paraId="6F1205F3">
      <w:pPr>
        <w:ind w:firstLine="1260" w:firstLineChars="450"/>
        <w:jc w:val="left"/>
        <w:rPr>
          <w:sz w:val="28"/>
        </w:rPr>
      </w:pPr>
      <w:r>
        <w:rPr>
          <w:sz w:val="28"/>
        </w:rPr>
        <w:t xml:space="preserve">         </w:t>
      </w:r>
    </w:p>
    <w:p w14:paraId="217B3BA2">
      <w:pPr>
        <w:ind w:firstLine="1260" w:firstLineChars="450"/>
        <w:rPr>
          <w:sz w:val="24"/>
        </w:rPr>
      </w:pPr>
      <w:r>
        <w:rPr>
          <w:sz w:val="28"/>
        </w:rPr>
        <w:t xml:space="preserve">         </w:t>
      </w:r>
    </w:p>
    <w:p w14:paraId="0FAB6F2D">
      <w:pPr>
        <w:spacing w:line="500" w:lineRule="exact"/>
        <w:jc w:val="left"/>
        <w:rPr>
          <w:sz w:val="28"/>
        </w:rPr>
      </w:pPr>
      <w:r>
        <w:rPr>
          <w:sz w:val="28"/>
        </w:rPr>
        <w:t>本规范委托全国新材料与纳米计量技术委员会负责解释</w:t>
      </w:r>
    </w:p>
    <w:bookmarkEnd w:id="6"/>
    <w:bookmarkEnd w:id="7"/>
    <w:p w14:paraId="1B03D5DF">
      <w:pPr>
        <w:pStyle w:val="11"/>
        <w:ind w:firstLine="0" w:firstLineChars="0"/>
        <w:rPr>
          <w:rFonts w:ascii="Times New Roman"/>
          <w:bCs/>
          <w:sz w:val="28"/>
        </w:rPr>
      </w:pPr>
    </w:p>
    <w:p w14:paraId="034D874D">
      <w:pPr>
        <w:pStyle w:val="11"/>
        <w:ind w:firstLine="0" w:firstLineChars="0"/>
        <w:rPr>
          <w:rFonts w:ascii="Times New Roman"/>
          <w:bCs/>
          <w:sz w:val="28"/>
        </w:rPr>
      </w:pPr>
      <w:r>
        <w:rPr>
          <w:rFonts w:ascii="Times New Roman"/>
          <w:bCs/>
          <w:sz w:val="28"/>
        </w:rPr>
        <w:t>本规范主要起草人：</w:t>
      </w:r>
    </w:p>
    <w:p w14:paraId="258D95CC">
      <w:pPr>
        <w:pStyle w:val="11"/>
        <w:ind w:firstLine="1680" w:firstLineChars="600"/>
        <w:rPr>
          <w:rFonts w:ascii="Times New Roman"/>
          <w:sz w:val="28"/>
          <w:szCs w:val="28"/>
        </w:rPr>
      </w:pPr>
      <w:r>
        <w:rPr>
          <w:rFonts w:ascii="Times New Roman"/>
          <w:sz w:val="28"/>
        </w:rPr>
        <w:t xml:space="preserve">      </w:t>
      </w:r>
    </w:p>
    <w:p w14:paraId="43B869BB">
      <w:pPr>
        <w:pStyle w:val="11"/>
        <w:ind w:firstLine="840" w:firstLineChars="300"/>
        <w:rPr>
          <w:rFonts w:ascii="Times New Roman"/>
          <w:bCs/>
          <w:sz w:val="28"/>
        </w:rPr>
      </w:pPr>
      <w:r>
        <w:rPr>
          <w:rFonts w:ascii="Times New Roman"/>
          <w:bCs/>
          <w:sz w:val="28"/>
        </w:rPr>
        <w:t>参加起草人：</w:t>
      </w:r>
    </w:p>
    <w:p w14:paraId="21847362">
      <w:pPr>
        <w:pStyle w:val="11"/>
        <w:ind w:left="1701" w:leftChars="810" w:firstLine="0" w:firstLineChars="0"/>
        <w:rPr>
          <w:rFonts w:ascii="Times New Roman"/>
          <w:b/>
          <w:bCs/>
          <w:sz w:val="28"/>
        </w:rPr>
      </w:pPr>
      <w:r>
        <w:rPr>
          <w:rFonts w:ascii="Times New Roman"/>
          <w:b/>
          <w:bCs/>
          <w:sz w:val="28"/>
        </w:rPr>
        <w:t xml:space="preserve">      </w:t>
      </w:r>
      <w:bookmarkStart w:id="68" w:name="_GoBack"/>
      <w:bookmarkEnd w:id="68"/>
    </w:p>
    <w:p w14:paraId="714B407A"/>
    <w:p w14:paraId="6EF58C44">
      <w:pPr>
        <w:ind w:firstLine="570"/>
        <w:jc w:val="center"/>
        <w:rPr>
          <w:sz w:val="28"/>
          <w:szCs w:val="28"/>
        </w:rPr>
      </w:pPr>
    </w:p>
    <w:p w14:paraId="5D1307F5">
      <w:pPr>
        <w:ind w:firstLine="570"/>
        <w:jc w:val="center"/>
        <w:rPr>
          <w:sz w:val="28"/>
          <w:szCs w:val="28"/>
        </w:rPr>
      </w:pPr>
    </w:p>
    <w:p w14:paraId="3E253A90">
      <w:pPr>
        <w:ind w:firstLine="570"/>
        <w:jc w:val="center"/>
        <w:rPr>
          <w:sz w:val="28"/>
          <w:szCs w:val="28"/>
        </w:rPr>
      </w:pPr>
    </w:p>
    <w:p w14:paraId="35448A1E">
      <w:pPr>
        <w:ind w:firstLine="570"/>
        <w:jc w:val="center"/>
        <w:rPr>
          <w:sz w:val="28"/>
          <w:szCs w:val="28"/>
        </w:rPr>
      </w:pPr>
    </w:p>
    <w:p w14:paraId="217378A4">
      <w:pPr>
        <w:ind w:firstLine="570"/>
        <w:jc w:val="center"/>
        <w:rPr>
          <w:sz w:val="28"/>
          <w:szCs w:val="28"/>
        </w:rPr>
      </w:pPr>
    </w:p>
    <w:p w14:paraId="65E7F9F3">
      <w:pPr>
        <w:ind w:firstLine="570"/>
        <w:jc w:val="center"/>
        <w:rPr>
          <w:sz w:val="28"/>
          <w:szCs w:val="28"/>
        </w:rPr>
      </w:pPr>
    </w:p>
    <w:p w14:paraId="0F6CDF55">
      <w:pPr>
        <w:ind w:firstLine="570"/>
        <w:jc w:val="center"/>
        <w:rPr>
          <w:sz w:val="28"/>
          <w:szCs w:val="28"/>
        </w:rPr>
      </w:pPr>
    </w:p>
    <w:p w14:paraId="5EC0839D">
      <w:pPr>
        <w:ind w:firstLine="570"/>
        <w:jc w:val="center"/>
        <w:rPr>
          <w:sz w:val="28"/>
          <w:szCs w:val="28"/>
        </w:rPr>
      </w:pPr>
    </w:p>
    <w:p w14:paraId="1A85FFAB">
      <w:pPr>
        <w:ind w:firstLine="570"/>
        <w:jc w:val="center"/>
        <w:rPr>
          <w:sz w:val="28"/>
          <w:szCs w:val="28"/>
        </w:rPr>
      </w:pPr>
    </w:p>
    <w:p w14:paraId="21AE1099">
      <w:pPr>
        <w:ind w:firstLine="570"/>
        <w:jc w:val="center"/>
        <w:rPr>
          <w:sz w:val="28"/>
          <w:szCs w:val="28"/>
        </w:rPr>
      </w:pPr>
    </w:p>
    <w:p w14:paraId="2DBF9061">
      <w:pPr>
        <w:ind w:firstLine="570"/>
        <w:jc w:val="center"/>
        <w:rPr>
          <w:sz w:val="28"/>
          <w:szCs w:val="28"/>
        </w:rPr>
        <w:sectPr>
          <w:headerReference r:id="rId7" w:type="default"/>
          <w:footerReference r:id="rId8" w:type="default"/>
          <w:pgSz w:w="11906" w:h="16838"/>
          <w:pgMar w:top="1264" w:right="1418" w:bottom="1418" w:left="1418" w:header="851" w:footer="992" w:gutter="0"/>
          <w:pgNumType w:start="1"/>
          <w:cols w:space="720" w:num="1"/>
          <w:docGrid w:type="lines" w:linePitch="312" w:charSpace="0"/>
        </w:sectPr>
      </w:pPr>
    </w:p>
    <w:p w14:paraId="2912A811">
      <w:pPr>
        <w:spacing w:line="360" w:lineRule="auto"/>
        <w:jc w:val="center"/>
        <w:rPr>
          <w:b/>
          <w:bCs/>
          <w:sz w:val="44"/>
          <w:szCs w:val="44"/>
        </w:rPr>
      </w:pPr>
      <w:bookmarkStart w:id="9" w:name="_Toc101442453"/>
      <w:bookmarkStart w:id="10" w:name="_Toc101281463"/>
      <w:r>
        <w:rPr>
          <w:b/>
          <w:bCs/>
          <w:sz w:val="44"/>
          <w:szCs w:val="44"/>
        </w:rPr>
        <w:t>目  录</w:t>
      </w:r>
      <w:bookmarkEnd w:id="9"/>
      <w:bookmarkEnd w:id="10"/>
    </w:p>
    <w:p w14:paraId="0F095934">
      <w:pPr>
        <w:pStyle w:val="16"/>
        <w:tabs>
          <w:tab w:val="right" w:leader="dot" w:pos="9060"/>
        </w:tabs>
        <w:spacing w:line="360" w:lineRule="auto"/>
        <w:rPr>
          <w:sz w:val="28"/>
          <w:szCs w:val="32"/>
          <w14:ligatures w14:val="standardContextual"/>
        </w:rPr>
      </w:pPr>
      <w:r>
        <w:rPr>
          <w:sz w:val="32"/>
          <w:szCs w:val="32"/>
        </w:rPr>
        <w:fldChar w:fldCharType="begin"/>
      </w:r>
      <w:r>
        <w:rPr>
          <w:sz w:val="32"/>
          <w:szCs w:val="32"/>
        </w:rPr>
        <w:instrText xml:space="preserve"> TOC \o "1-2" \h \z \u </w:instrText>
      </w:r>
      <w:r>
        <w:rPr>
          <w:sz w:val="32"/>
          <w:szCs w:val="32"/>
        </w:rPr>
        <w:fldChar w:fldCharType="separate"/>
      </w:r>
      <w:r>
        <w:fldChar w:fldCharType="begin"/>
      </w:r>
      <w:r>
        <w:instrText xml:space="preserve"> HYPERLINK \l "_Toc197985342" </w:instrText>
      </w:r>
      <w:r>
        <w:fldChar w:fldCharType="separate"/>
      </w:r>
      <w:r>
        <w:rPr>
          <w:rStyle w:val="27"/>
          <w:sz w:val="24"/>
          <w:szCs w:val="24"/>
        </w:rPr>
        <w:t>引 言</w:t>
      </w:r>
      <w:r>
        <w:rPr>
          <w:sz w:val="24"/>
          <w:szCs w:val="24"/>
        </w:rPr>
        <w:tab/>
      </w:r>
      <w:r>
        <w:rPr>
          <w:sz w:val="24"/>
          <w:szCs w:val="24"/>
        </w:rPr>
        <w:fldChar w:fldCharType="begin"/>
      </w:r>
      <w:r>
        <w:rPr>
          <w:sz w:val="24"/>
          <w:szCs w:val="24"/>
        </w:rPr>
        <w:instrText xml:space="preserve"> PAGEREF _Toc197985342 \h </w:instrText>
      </w:r>
      <w:r>
        <w:rPr>
          <w:sz w:val="24"/>
          <w:szCs w:val="24"/>
        </w:rPr>
        <w:fldChar w:fldCharType="separate"/>
      </w:r>
      <w:r>
        <w:rPr>
          <w:sz w:val="24"/>
          <w:szCs w:val="24"/>
        </w:rPr>
        <w:t>I</w:t>
      </w:r>
      <w:r>
        <w:rPr>
          <w:sz w:val="24"/>
          <w:szCs w:val="24"/>
        </w:rPr>
        <w:fldChar w:fldCharType="end"/>
      </w:r>
      <w:r>
        <w:rPr>
          <w:sz w:val="24"/>
          <w:szCs w:val="24"/>
        </w:rPr>
        <w:fldChar w:fldCharType="end"/>
      </w:r>
    </w:p>
    <w:p w14:paraId="74AFD011">
      <w:pPr>
        <w:pStyle w:val="16"/>
        <w:tabs>
          <w:tab w:val="right" w:leader="dot" w:pos="9060"/>
        </w:tabs>
        <w:spacing w:line="360" w:lineRule="auto"/>
        <w:rPr>
          <w:sz w:val="28"/>
          <w:szCs w:val="32"/>
          <w14:ligatures w14:val="standardContextual"/>
        </w:rPr>
      </w:pPr>
      <w:r>
        <w:fldChar w:fldCharType="begin"/>
      </w:r>
      <w:r>
        <w:instrText xml:space="preserve"> HYPERLINK \l "_Toc197985343" </w:instrText>
      </w:r>
      <w:r>
        <w:fldChar w:fldCharType="separate"/>
      </w:r>
      <w:r>
        <w:rPr>
          <w:rStyle w:val="27"/>
          <w:sz w:val="24"/>
          <w:szCs w:val="24"/>
        </w:rPr>
        <w:t>1  范围</w:t>
      </w:r>
      <w:r>
        <w:rPr>
          <w:sz w:val="24"/>
          <w:szCs w:val="24"/>
        </w:rPr>
        <w:tab/>
      </w:r>
      <w:r>
        <w:rPr>
          <w:sz w:val="24"/>
          <w:szCs w:val="24"/>
        </w:rPr>
        <w:fldChar w:fldCharType="begin"/>
      </w:r>
      <w:r>
        <w:rPr>
          <w:sz w:val="24"/>
          <w:szCs w:val="24"/>
        </w:rPr>
        <w:instrText xml:space="preserve"> PAGEREF _Toc197985343 \h </w:instrText>
      </w:r>
      <w:r>
        <w:rPr>
          <w:sz w:val="24"/>
          <w:szCs w:val="24"/>
        </w:rPr>
        <w:fldChar w:fldCharType="separate"/>
      </w:r>
      <w:r>
        <w:rPr>
          <w:sz w:val="24"/>
          <w:szCs w:val="24"/>
        </w:rPr>
        <w:t>1</w:t>
      </w:r>
      <w:r>
        <w:rPr>
          <w:sz w:val="24"/>
          <w:szCs w:val="24"/>
        </w:rPr>
        <w:fldChar w:fldCharType="end"/>
      </w:r>
      <w:r>
        <w:rPr>
          <w:sz w:val="24"/>
          <w:szCs w:val="24"/>
        </w:rPr>
        <w:fldChar w:fldCharType="end"/>
      </w:r>
    </w:p>
    <w:p w14:paraId="17CE1483">
      <w:pPr>
        <w:pStyle w:val="16"/>
        <w:tabs>
          <w:tab w:val="right" w:leader="dot" w:pos="9060"/>
        </w:tabs>
        <w:spacing w:line="360" w:lineRule="auto"/>
        <w:rPr>
          <w:sz w:val="28"/>
          <w:szCs w:val="32"/>
          <w14:ligatures w14:val="standardContextual"/>
        </w:rPr>
      </w:pPr>
      <w:r>
        <w:fldChar w:fldCharType="begin"/>
      </w:r>
      <w:r>
        <w:instrText xml:space="preserve"> HYPERLINK \l "_Toc197985344" </w:instrText>
      </w:r>
      <w:r>
        <w:fldChar w:fldCharType="separate"/>
      </w:r>
      <w:r>
        <w:rPr>
          <w:rStyle w:val="27"/>
          <w:sz w:val="24"/>
          <w:szCs w:val="24"/>
        </w:rPr>
        <w:t>2  引用文件</w:t>
      </w:r>
      <w:r>
        <w:rPr>
          <w:sz w:val="24"/>
          <w:szCs w:val="24"/>
        </w:rPr>
        <w:tab/>
      </w:r>
      <w:r>
        <w:rPr>
          <w:sz w:val="24"/>
          <w:szCs w:val="24"/>
        </w:rPr>
        <w:fldChar w:fldCharType="begin"/>
      </w:r>
      <w:r>
        <w:rPr>
          <w:sz w:val="24"/>
          <w:szCs w:val="24"/>
        </w:rPr>
        <w:instrText xml:space="preserve"> PAGEREF _Toc197985344 \h </w:instrText>
      </w:r>
      <w:r>
        <w:rPr>
          <w:sz w:val="24"/>
          <w:szCs w:val="24"/>
        </w:rPr>
        <w:fldChar w:fldCharType="separate"/>
      </w:r>
      <w:r>
        <w:rPr>
          <w:sz w:val="24"/>
          <w:szCs w:val="24"/>
        </w:rPr>
        <w:t>1</w:t>
      </w:r>
      <w:r>
        <w:rPr>
          <w:sz w:val="24"/>
          <w:szCs w:val="24"/>
        </w:rPr>
        <w:fldChar w:fldCharType="end"/>
      </w:r>
      <w:r>
        <w:rPr>
          <w:sz w:val="24"/>
          <w:szCs w:val="24"/>
        </w:rPr>
        <w:fldChar w:fldCharType="end"/>
      </w:r>
    </w:p>
    <w:p w14:paraId="57F5B4A3">
      <w:pPr>
        <w:pStyle w:val="16"/>
        <w:tabs>
          <w:tab w:val="right" w:leader="dot" w:pos="9060"/>
        </w:tabs>
        <w:spacing w:line="360" w:lineRule="auto"/>
        <w:rPr>
          <w:sz w:val="28"/>
          <w:szCs w:val="32"/>
          <w14:ligatures w14:val="standardContextual"/>
        </w:rPr>
      </w:pPr>
      <w:r>
        <w:fldChar w:fldCharType="begin"/>
      </w:r>
      <w:r>
        <w:instrText xml:space="preserve"> HYPERLINK \l "_Toc197985345" </w:instrText>
      </w:r>
      <w:r>
        <w:fldChar w:fldCharType="separate"/>
      </w:r>
      <w:r>
        <w:rPr>
          <w:rStyle w:val="27"/>
          <w:sz w:val="24"/>
          <w:szCs w:val="24"/>
        </w:rPr>
        <w:t>3  术语和计量单位</w:t>
      </w:r>
      <w:r>
        <w:rPr>
          <w:sz w:val="24"/>
          <w:szCs w:val="24"/>
        </w:rPr>
        <w:tab/>
      </w:r>
      <w:r>
        <w:rPr>
          <w:sz w:val="24"/>
          <w:szCs w:val="24"/>
        </w:rPr>
        <w:fldChar w:fldCharType="begin"/>
      </w:r>
      <w:r>
        <w:rPr>
          <w:sz w:val="24"/>
          <w:szCs w:val="24"/>
        </w:rPr>
        <w:instrText xml:space="preserve"> PAGEREF _Toc197985345 \h </w:instrText>
      </w:r>
      <w:r>
        <w:rPr>
          <w:sz w:val="24"/>
          <w:szCs w:val="24"/>
        </w:rPr>
        <w:fldChar w:fldCharType="separate"/>
      </w:r>
      <w:r>
        <w:rPr>
          <w:sz w:val="24"/>
          <w:szCs w:val="24"/>
        </w:rPr>
        <w:t>1</w:t>
      </w:r>
      <w:r>
        <w:rPr>
          <w:sz w:val="24"/>
          <w:szCs w:val="24"/>
        </w:rPr>
        <w:fldChar w:fldCharType="end"/>
      </w:r>
      <w:r>
        <w:rPr>
          <w:sz w:val="24"/>
          <w:szCs w:val="24"/>
        </w:rPr>
        <w:fldChar w:fldCharType="end"/>
      </w:r>
    </w:p>
    <w:p w14:paraId="081FC342">
      <w:pPr>
        <w:pStyle w:val="16"/>
        <w:tabs>
          <w:tab w:val="right" w:leader="dot" w:pos="9060"/>
        </w:tabs>
        <w:spacing w:line="360" w:lineRule="auto"/>
        <w:rPr>
          <w:sz w:val="28"/>
          <w:szCs w:val="32"/>
          <w14:ligatures w14:val="standardContextual"/>
        </w:rPr>
      </w:pPr>
      <w:r>
        <w:fldChar w:fldCharType="begin"/>
      </w:r>
      <w:r>
        <w:instrText xml:space="preserve"> HYPERLINK \l "_Toc197985346" </w:instrText>
      </w:r>
      <w:r>
        <w:fldChar w:fldCharType="separate"/>
      </w:r>
      <w:r>
        <w:rPr>
          <w:rStyle w:val="27"/>
          <w:sz w:val="24"/>
          <w:szCs w:val="24"/>
        </w:rPr>
        <w:t>4  概述</w:t>
      </w:r>
      <w:r>
        <w:rPr>
          <w:sz w:val="24"/>
          <w:szCs w:val="24"/>
        </w:rPr>
        <w:tab/>
      </w:r>
      <w:r>
        <w:rPr>
          <w:sz w:val="24"/>
          <w:szCs w:val="24"/>
        </w:rPr>
        <w:fldChar w:fldCharType="begin"/>
      </w:r>
      <w:r>
        <w:rPr>
          <w:sz w:val="24"/>
          <w:szCs w:val="24"/>
        </w:rPr>
        <w:instrText xml:space="preserve"> PAGEREF _Toc197985346 \h </w:instrText>
      </w:r>
      <w:r>
        <w:rPr>
          <w:sz w:val="24"/>
          <w:szCs w:val="24"/>
        </w:rPr>
        <w:fldChar w:fldCharType="separate"/>
      </w:r>
      <w:r>
        <w:rPr>
          <w:sz w:val="24"/>
          <w:szCs w:val="24"/>
        </w:rPr>
        <w:t>2</w:t>
      </w:r>
      <w:r>
        <w:rPr>
          <w:sz w:val="24"/>
          <w:szCs w:val="24"/>
        </w:rPr>
        <w:fldChar w:fldCharType="end"/>
      </w:r>
      <w:r>
        <w:rPr>
          <w:sz w:val="24"/>
          <w:szCs w:val="24"/>
        </w:rPr>
        <w:fldChar w:fldCharType="end"/>
      </w:r>
    </w:p>
    <w:p w14:paraId="45927FFC">
      <w:pPr>
        <w:pStyle w:val="16"/>
        <w:tabs>
          <w:tab w:val="right" w:leader="dot" w:pos="9060"/>
        </w:tabs>
        <w:spacing w:line="360" w:lineRule="auto"/>
        <w:rPr>
          <w:sz w:val="28"/>
          <w:szCs w:val="32"/>
          <w14:ligatures w14:val="standardContextual"/>
        </w:rPr>
      </w:pPr>
      <w:r>
        <w:fldChar w:fldCharType="begin"/>
      </w:r>
      <w:r>
        <w:instrText xml:space="preserve"> HYPERLINK \l "_Toc197985347" </w:instrText>
      </w:r>
      <w:r>
        <w:fldChar w:fldCharType="separate"/>
      </w:r>
      <w:r>
        <w:rPr>
          <w:rStyle w:val="27"/>
          <w:sz w:val="24"/>
          <w:szCs w:val="24"/>
        </w:rPr>
        <w:t>5  计量特性</w:t>
      </w:r>
      <w:r>
        <w:rPr>
          <w:sz w:val="24"/>
          <w:szCs w:val="24"/>
        </w:rPr>
        <w:tab/>
      </w:r>
      <w:r>
        <w:rPr>
          <w:sz w:val="24"/>
          <w:szCs w:val="24"/>
        </w:rPr>
        <w:fldChar w:fldCharType="begin"/>
      </w:r>
      <w:r>
        <w:rPr>
          <w:sz w:val="24"/>
          <w:szCs w:val="24"/>
        </w:rPr>
        <w:instrText xml:space="preserve"> PAGEREF _Toc197985347 \h </w:instrText>
      </w:r>
      <w:r>
        <w:rPr>
          <w:sz w:val="24"/>
          <w:szCs w:val="24"/>
        </w:rPr>
        <w:fldChar w:fldCharType="separate"/>
      </w:r>
      <w:r>
        <w:rPr>
          <w:sz w:val="24"/>
          <w:szCs w:val="24"/>
        </w:rPr>
        <w:t>4</w:t>
      </w:r>
      <w:r>
        <w:rPr>
          <w:sz w:val="24"/>
          <w:szCs w:val="24"/>
        </w:rPr>
        <w:fldChar w:fldCharType="end"/>
      </w:r>
      <w:r>
        <w:rPr>
          <w:sz w:val="24"/>
          <w:szCs w:val="24"/>
        </w:rPr>
        <w:fldChar w:fldCharType="end"/>
      </w:r>
    </w:p>
    <w:p w14:paraId="2044CB8D">
      <w:pPr>
        <w:pStyle w:val="16"/>
        <w:tabs>
          <w:tab w:val="right" w:leader="dot" w:pos="9060"/>
        </w:tabs>
        <w:spacing w:line="360" w:lineRule="auto"/>
        <w:rPr>
          <w:sz w:val="28"/>
          <w:szCs w:val="32"/>
          <w14:ligatures w14:val="standardContextual"/>
        </w:rPr>
      </w:pPr>
      <w:r>
        <w:fldChar w:fldCharType="begin"/>
      </w:r>
      <w:r>
        <w:instrText xml:space="preserve"> HYPERLINK \l "_Toc197985348" </w:instrText>
      </w:r>
      <w:r>
        <w:fldChar w:fldCharType="separate"/>
      </w:r>
      <w:r>
        <w:rPr>
          <w:rStyle w:val="27"/>
          <w:sz w:val="24"/>
          <w:szCs w:val="24"/>
        </w:rPr>
        <w:t>6  校准条件</w:t>
      </w:r>
      <w:r>
        <w:rPr>
          <w:sz w:val="24"/>
          <w:szCs w:val="24"/>
        </w:rPr>
        <w:tab/>
      </w:r>
      <w:r>
        <w:rPr>
          <w:sz w:val="24"/>
          <w:szCs w:val="24"/>
        </w:rPr>
        <w:fldChar w:fldCharType="begin"/>
      </w:r>
      <w:r>
        <w:rPr>
          <w:sz w:val="24"/>
          <w:szCs w:val="24"/>
        </w:rPr>
        <w:instrText xml:space="preserve"> PAGEREF _Toc197985348 \h </w:instrText>
      </w:r>
      <w:r>
        <w:rPr>
          <w:sz w:val="24"/>
          <w:szCs w:val="24"/>
        </w:rPr>
        <w:fldChar w:fldCharType="separate"/>
      </w:r>
      <w:r>
        <w:rPr>
          <w:sz w:val="24"/>
          <w:szCs w:val="24"/>
        </w:rPr>
        <w:t>4</w:t>
      </w:r>
      <w:r>
        <w:rPr>
          <w:sz w:val="24"/>
          <w:szCs w:val="24"/>
        </w:rPr>
        <w:fldChar w:fldCharType="end"/>
      </w:r>
      <w:r>
        <w:rPr>
          <w:sz w:val="24"/>
          <w:szCs w:val="24"/>
        </w:rPr>
        <w:fldChar w:fldCharType="end"/>
      </w:r>
    </w:p>
    <w:p w14:paraId="0A41B45F">
      <w:pPr>
        <w:pStyle w:val="17"/>
        <w:tabs>
          <w:tab w:val="right" w:leader="dot" w:pos="9060"/>
        </w:tabs>
        <w:spacing w:line="360" w:lineRule="auto"/>
        <w:rPr>
          <w:sz w:val="28"/>
          <w:szCs w:val="32"/>
          <w14:ligatures w14:val="standardContextual"/>
        </w:rPr>
      </w:pPr>
      <w:r>
        <w:fldChar w:fldCharType="begin"/>
      </w:r>
      <w:r>
        <w:instrText xml:space="preserve"> HYPERLINK \l "_Toc197985349" </w:instrText>
      </w:r>
      <w:r>
        <w:fldChar w:fldCharType="separate"/>
      </w:r>
      <w:r>
        <w:rPr>
          <w:rStyle w:val="27"/>
          <w:sz w:val="24"/>
          <w:szCs w:val="32"/>
        </w:rPr>
        <w:t>6.1 环境条件</w:t>
      </w:r>
      <w:r>
        <w:rPr>
          <w:sz w:val="24"/>
          <w:szCs w:val="32"/>
        </w:rPr>
        <w:tab/>
      </w:r>
      <w:r>
        <w:rPr>
          <w:sz w:val="24"/>
          <w:szCs w:val="32"/>
        </w:rPr>
        <w:fldChar w:fldCharType="begin"/>
      </w:r>
      <w:r>
        <w:rPr>
          <w:sz w:val="24"/>
          <w:szCs w:val="32"/>
        </w:rPr>
        <w:instrText xml:space="preserve"> PAGEREF _Toc197985349 \h </w:instrText>
      </w:r>
      <w:r>
        <w:rPr>
          <w:sz w:val="24"/>
          <w:szCs w:val="32"/>
        </w:rPr>
        <w:fldChar w:fldCharType="separate"/>
      </w:r>
      <w:r>
        <w:rPr>
          <w:sz w:val="24"/>
          <w:szCs w:val="32"/>
        </w:rPr>
        <w:t>4</w:t>
      </w:r>
      <w:r>
        <w:rPr>
          <w:sz w:val="24"/>
          <w:szCs w:val="32"/>
        </w:rPr>
        <w:fldChar w:fldCharType="end"/>
      </w:r>
      <w:r>
        <w:rPr>
          <w:sz w:val="24"/>
          <w:szCs w:val="32"/>
        </w:rPr>
        <w:fldChar w:fldCharType="end"/>
      </w:r>
    </w:p>
    <w:p w14:paraId="15B15351">
      <w:pPr>
        <w:pStyle w:val="17"/>
        <w:tabs>
          <w:tab w:val="right" w:leader="dot" w:pos="9060"/>
        </w:tabs>
        <w:spacing w:line="360" w:lineRule="auto"/>
        <w:rPr>
          <w:sz w:val="28"/>
          <w:szCs w:val="32"/>
          <w14:ligatures w14:val="standardContextual"/>
        </w:rPr>
      </w:pPr>
      <w:r>
        <w:fldChar w:fldCharType="begin"/>
      </w:r>
      <w:r>
        <w:instrText xml:space="preserve"> HYPERLINK \l "_Toc197985350" </w:instrText>
      </w:r>
      <w:r>
        <w:fldChar w:fldCharType="separate"/>
      </w:r>
      <w:r>
        <w:rPr>
          <w:rStyle w:val="27"/>
          <w:sz w:val="24"/>
          <w:szCs w:val="32"/>
        </w:rPr>
        <w:t>6.2 测量标准仪器及其技术要求</w:t>
      </w:r>
      <w:r>
        <w:rPr>
          <w:sz w:val="24"/>
          <w:szCs w:val="32"/>
        </w:rPr>
        <w:tab/>
      </w:r>
      <w:r>
        <w:rPr>
          <w:sz w:val="24"/>
          <w:szCs w:val="32"/>
        </w:rPr>
        <w:fldChar w:fldCharType="begin"/>
      </w:r>
      <w:r>
        <w:rPr>
          <w:sz w:val="24"/>
          <w:szCs w:val="32"/>
        </w:rPr>
        <w:instrText xml:space="preserve"> PAGEREF _Toc197985350 \h </w:instrText>
      </w:r>
      <w:r>
        <w:rPr>
          <w:sz w:val="24"/>
          <w:szCs w:val="32"/>
        </w:rPr>
        <w:fldChar w:fldCharType="separate"/>
      </w:r>
      <w:r>
        <w:rPr>
          <w:sz w:val="24"/>
          <w:szCs w:val="32"/>
        </w:rPr>
        <w:t>4</w:t>
      </w:r>
      <w:r>
        <w:rPr>
          <w:sz w:val="24"/>
          <w:szCs w:val="32"/>
        </w:rPr>
        <w:fldChar w:fldCharType="end"/>
      </w:r>
      <w:r>
        <w:rPr>
          <w:sz w:val="24"/>
          <w:szCs w:val="32"/>
        </w:rPr>
        <w:fldChar w:fldCharType="end"/>
      </w:r>
    </w:p>
    <w:p w14:paraId="4ED603BF">
      <w:pPr>
        <w:pStyle w:val="16"/>
        <w:tabs>
          <w:tab w:val="right" w:leader="dot" w:pos="9060"/>
        </w:tabs>
        <w:spacing w:line="360" w:lineRule="auto"/>
        <w:rPr>
          <w:sz w:val="28"/>
          <w:szCs w:val="32"/>
          <w14:ligatures w14:val="standardContextual"/>
        </w:rPr>
      </w:pPr>
      <w:r>
        <w:fldChar w:fldCharType="begin"/>
      </w:r>
      <w:r>
        <w:instrText xml:space="preserve"> HYPERLINK \l "_Toc197985351" </w:instrText>
      </w:r>
      <w:r>
        <w:fldChar w:fldCharType="separate"/>
      </w:r>
      <w:r>
        <w:rPr>
          <w:rStyle w:val="27"/>
          <w:sz w:val="24"/>
          <w:szCs w:val="24"/>
        </w:rPr>
        <w:t>7  校准项目和校准方法</w:t>
      </w:r>
      <w:r>
        <w:rPr>
          <w:sz w:val="24"/>
          <w:szCs w:val="24"/>
        </w:rPr>
        <w:tab/>
      </w:r>
      <w:r>
        <w:rPr>
          <w:sz w:val="24"/>
          <w:szCs w:val="24"/>
        </w:rPr>
        <w:fldChar w:fldCharType="begin"/>
      </w:r>
      <w:r>
        <w:rPr>
          <w:sz w:val="24"/>
          <w:szCs w:val="24"/>
        </w:rPr>
        <w:instrText xml:space="preserve"> PAGEREF _Toc197985351 \h </w:instrText>
      </w:r>
      <w:r>
        <w:rPr>
          <w:sz w:val="24"/>
          <w:szCs w:val="24"/>
        </w:rPr>
        <w:fldChar w:fldCharType="separate"/>
      </w:r>
      <w:r>
        <w:rPr>
          <w:sz w:val="24"/>
          <w:szCs w:val="24"/>
        </w:rPr>
        <w:t>4</w:t>
      </w:r>
      <w:r>
        <w:rPr>
          <w:sz w:val="24"/>
          <w:szCs w:val="24"/>
        </w:rPr>
        <w:fldChar w:fldCharType="end"/>
      </w:r>
      <w:r>
        <w:rPr>
          <w:sz w:val="24"/>
          <w:szCs w:val="24"/>
        </w:rPr>
        <w:fldChar w:fldCharType="end"/>
      </w:r>
    </w:p>
    <w:p w14:paraId="035A8E82">
      <w:pPr>
        <w:pStyle w:val="17"/>
        <w:tabs>
          <w:tab w:val="right" w:leader="dot" w:pos="9060"/>
        </w:tabs>
        <w:spacing w:line="360" w:lineRule="auto"/>
        <w:rPr>
          <w:sz w:val="28"/>
          <w:szCs w:val="32"/>
          <w14:ligatures w14:val="standardContextual"/>
        </w:rPr>
      </w:pPr>
      <w:r>
        <w:fldChar w:fldCharType="begin"/>
      </w:r>
      <w:r>
        <w:instrText xml:space="preserve"> HYPERLINK \l "_Toc197985352" </w:instrText>
      </w:r>
      <w:r>
        <w:fldChar w:fldCharType="separate"/>
      </w:r>
      <w:r>
        <w:rPr>
          <w:rStyle w:val="27"/>
          <w:sz w:val="24"/>
          <w:szCs w:val="32"/>
        </w:rPr>
        <w:t>7.1 校准前的准备</w:t>
      </w:r>
      <w:r>
        <w:rPr>
          <w:sz w:val="24"/>
          <w:szCs w:val="32"/>
        </w:rPr>
        <w:tab/>
      </w:r>
      <w:r>
        <w:rPr>
          <w:sz w:val="24"/>
          <w:szCs w:val="32"/>
        </w:rPr>
        <w:fldChar w:fldCharType="begin"/>
      </w:r>
      <w:r>
        <w:rPr>
          <w:sz w:val="24"/>
          <w:szCs w:val="32"/>
        </w:rPr>
        <w:instrText xml:space="preserve"> PAGEREF _Toc197985352 \h </w:instrText>
      </w:r>
      <w:r>
        <w:rPr>
          <w:sz w:val="24"/>
          <w:szCs w:val="32"/>
        </w:rPr>
        <w:fldChar w:fldCharType="separate"/>
      </w:r>
      <w:r>
        <w:rPr>
          <w:sz w:val="24"/>
          <w:szCs w:val="32"/>
        </w:rPr>
        <w:t>4</w:t>
      </w:r>
      <w:r>
        <w:rPr>
          <w:sz w:val="24"/>
          <w:szCs w:val="32"/>
        </w:rPr>
        <w:fldChar w:fldCharType="end"/>
      </w:r>
      <w:r>
        <w:rPr>
          <w:sz w:val="24"/>
          <w:szCs w:val="32"/>
        </w:rPr>
        <w:fldChar w:fldCharType="end"/>
      </w:r>
    </w:p>
    <w:p w14:paraId="4419B5B7">
      <w:pPr>
        <w:pStyle w:val="17"/>
        <w:tabs>
          <w:tab w:val="right" w:leader="dot" w:pos="9060"/>
        </w:tabs>
        <w:spacing w:line="360" w:lineRule="auto"/>
        <w:rPr>
          <w:sz w:val="28"/>
          <w:szCs w:val="32"/>
          <w14:ligatures w14:val="standardContextual"/>
        </w:rPr>
      </w:pPr>
      <w:r>
        <w:fldChar w:fldCharType="begin"/>
      </w:r>
      <w:r>
        <w:instrText xml:space="preserve"> HYPERLINK \l "_Toc197985353" </w:instrText>
      </w:r>
      <w:r>
        <w:fldChar w:fldCharType="separate"/>
      </w:r>
      <w:r>
        <w:rPr>
          <w:rStyle w:val="27"/>
          <w:sz w:val="24"/>
          <w:szCs w:val="32"/>
        </w:rPr>
        <w:t>7.2 系统切向刚度（</w:t>
      </w:r>
      <w:r>
        <w:rPr>
          <w:rStyle w:val="27"/>
          <w:i/>
          <w:iCs/>
          <w:sz w:val="24"/>
          <w:szCs w:val="32"/>
        </w:rPr>
        <w:t>K</w:t>
      </w:r>
      <w:r>
        <w:rPr>
          <w:rStyle w:val="27"/>
          <w:sz w:val="24"/>
          <w:szCs w:val="32"/>
        </w:rPr>
        <w:t>）校准</w:t>
      </w:r>
      <w:r>
        <w:rPr>
          <w:sz w:val="24"/>
          <w:szCs w:val="32"/>
        </w:rPr>
        <w:tab/>
      </w:r>
      <w:r>
        <w:rPr>
          <w:sz w:val="24"/>
          <w:szCs w:val="32"/>
        </w:rPr>
        <w:fldChar w:fldCharType="begin"/>
      </w:r>
      <w:r>
        <w:rPr>
          <w:sz w:val="24"/>
          <w:szCs w:val="32"/>
        </w:rPr>
        <w:instrText xml:space="preserve"> PAGEREF _Toc197985353 \h </w:instrText>
      </w:r>
      <w:r>
        <w:rPr>
          <w:sz w:val="24"/>
          <w:szCs w:val="32"/>
        </w:rPr>
        <w:fldChar w:fldCharType="separate"/>
      </w:r>
      <w:r>
        <w:rPr>
          <w:sz w:val="24"/>
          <w:szCs w:val="32"/>
        </w:rPr>
        <w:t>5</w:t>
      </w:r>
      <w:r>
        <w:rPr>
          <w:sz w:val="24"/>
          <w:szCs w:val="32"/>
        </w:rPr>
        <w:fldChar w:fldCharType="end"/>
      </w:r>
      <w:r>
        <w:rPr>
          <w:sz w:val="24"/>
          <w:szCs w:val="32"/>
        </w:rPr>
        <w:fldChar w:fldCharType="end"/>
      </w:r>
    </w:p>
    <w:p w14:paraId="295D18EE">
      <w:pPr>
        <w:pStyle w:val="17"/>
        <w:tabs>
          <w:tab w:val="right" w:leader="dot" w:pos="9060"/>
        </w:tabs>
        <w:spacing w:line="360" w:lineRule="auto"/>
        <w:rPr>
          <w:sz w:val="28"/>
          <w:szCs w:val="32"/>
          <w14:ligatures w14:val="standardContextual"/>
        </w:rPr>
      </w:pPr>
      <w:r>
        <w:fldChar w:fldCharType="begin"/>
      </w:r>
      <w:r>
        <w:instrText xml:space="preserve"> HYPERLINK \l "_Toc197985354" </w:instrText>
      </w:r>
      <w:r>
        <w:fldChar w:fldCharType="separate"/>
      </w:r>
      <w:r>
        <w:rPr>
          <w:rStyle w:val="27"/>
          <w:sz w:val="24"/>
          <w:szCs w:val="32"/>
        </w:rPr>
        <w:t>7.3 测量重复性</w:t>
      </w:r>
      <w:r>
        <w:rPr>
          <w:sz w:val="24"/>
          <w:szCs w:val="32"/>
        </w:rPr>
        <w:tab/>
      </w:r>
      <w:r>
        <w:rPr>
          <w:sz w:val="24"/>
          <w:szCs w:val="32"/>
        </w:rPr>
        <w:fldChar w:fldCharType="begin"/>
      </w:r>
      <w:r>
        <w:rPr>
          <w:sz w:val="24"/>
          <w:szCs w:val="32"/>
        </w:rPr>
        <w:instrText xml:space="preserve"> PAGEREF _Toc197985354 \h </w:instrText>
      </w:r>
      <w:r>
        <w:rPr>
          <w:sz w:val="24"/>
          <w:szCs w:val="32"/>
        </w:rPr>
        <w:fldChar w:fldCharType="separate"/>
      </w:r>
      <w:r>
        <w:rPr>
          <w:sz w:val="24"/>
          <w:szCs w:val="32"/>
        </w:rPr>
        <w:t>6</w:t>
      </w:r>
      <w:r>
        <w:rPr>
          <w:sz w:val="24"/>
          <w:szCs w:val="32"/>
        </w:rPr>
        <w:fldChar w:fldCharType="end"/>
      </w:r>
      <w:r>
        <w:rPr>
          <w:sz w:val="24"/>
          <w:szCs w:val="32"/>
        </w:rPr>
        <w:fldChar w:fldCharType="end"/>
      </w:r>
    </w:p>
    <w:p w14:paraId="73922811">
      <w:pPr>
        <w:pStyle w:val="16"/>
        <w:tabs>
          <w:tab w:val="right" w:leader="dot" w:pos="9060"/>
        </w:tabs>
        <w:spacing w:line="360" w:lineRule="auto"/>
        <w:rPr>
          <w:sz w:val="28"/>
          <w:szCs w:val="32"/>
          <w14:ligatures w14:val="standardContextual"/>
        </w:rPr>
      </w:pPr>
      <w:r>
        <w:fldChar w:fldCharType="begin"/>
      </w:r>
      <w:r>
        <w:instrText xml:space="preserve"> HYPERLINK \l "_Toc197985355" </w:instrText>
      </w:r>
      <w:r>
        <w:fldChar w:fldCharType="separate"/>
      </w:r>
      <w:r>
        <w:rPr>
          <w:rStyle w:val="27"/>
          <w:sz w:val="24"/>
          <w:szCs w:val="24"/>
        </w:rPr>
        <w:t>8  校准结果的表达</w:t>
      </w:r>
      <w:r>
        <w:rPr>
          <w:sz w:val="24"/>
          <w:szCs w:val="24"/>
        </w:rPr>
        <w:tab/>
      </w:r>
      <w:r>
        <w:rPr>
          <w:sz w:val="24"/>
          <w:szCs w:val="24"/>
        </w:rPr>
        <w:fldChar w:fldCharType="begin"/>
      </w:r>
      <w:r>
        <w:rPr>
          <w:sz w:val="24"/>
          <w:szCs w:val="24"/>
        </w:rPr>
        <w:instrText xml:space="preserve"> PAGEREF _Toc197985355 \h </w:instrText>
      </w:r>
      <w:r>
        <w:rPr>
          <w:sz w:val="24"/>
          <w:szCs w:val="24"/>
        </w:rPr>
        <w:fldChar w:fldCharType="separate"/>
      </w:r>
      <w:r>
        <w:rPr>
          <w:sz w:val="24"/>
          <w:szCs w:val="24"/>
        </w:rPr>
        <w:t>6</w:t>
      </w:r>
      <w:r>
        <w:rPr>
          <w:sz w:val="24"/>
          <w:szCs w:val="24"/>
        </w:rPr>
        <w:fldChar w:fldCharType="end"/>
      </w:r>
      <w:r>
        <w:rPr>
          <w:sz w:val="24"/>
          <w:szCs w:val="24"/>
        </w:rPr>
        <w:fldChar w:fldCharType="end"/>
      </w:r>
    </w:p>
    <w:p w14:paraId="49180A90">
      <w:pPr>
        <w:pStyle w:val="16"/>
        <w:tabs>
          <w:tab w:val="right" w:leader="dot" w:pos="9060"/>
        </w:tabs>
        <w:spacing w:line="360" w:lineRule="auto"/>
        <w:rPr>
          <w:sz w:val="28"/>
          <w:szCs w:val="32"/>
          <w14:ligatures w14:val="standardContextual"/>
        </w:rPr>
      </w:pPr>
      <w:r>
        <w:fldChar w:fldCharType="begin"/>
      </w:r>
      <w:r>
        <w:instrText xml:space="preserve"> HYPERLINK \l "_Toc197985356" </w:instrText>
      </w:r>
      <w:r>
        <w:fldChar w:fldCharType="separate"/>
      </w:r>
      <w:r>
        <w:rPr>
          <w:rStyle w:val="27"/>
          <w:sz w:val="24"/>
          <w:szCs w:val="24"/>
        </w:rPr>
        <w:t>9  复校时间间隔</w:t>
      </w:r>
      <w:r>
        <w:rPr>
          <w:sz w:val="24"/>
          <w:szCs w:val="24"/>
        </w:rPr>
        <w:tab/>
      </w:r>
      <w:r>
        <w:rPr>
          <w:sz w:val="24"/>
          <w:szCs w:val="24"/>
        </w:rPr>
        <w:fldChar w:fldCharType="begin"/>
      </w:r>
      <w:r>
        <w:rPr>
          <w:sz w:val="24"/>
          <w:szCs w:val="24"/>
        </w:rPr>
        <w:instrText xml:space="preserve"> PAGEREF _Toc197985356 \h </w:instrText>
      </w:r>
      <w:r>
        <w:rPr>
          <w:sz w:val="24"/>
          <w:szCs w:val="24"/>
        </w:rPr>
        <w:fldChar w:fldCharType="separate"/>
      </w:r>
      <w:r>
        <w:rPr>
          <w:sz w:val="24"/>
          <w:szCs w:val="24"/>
        </w:rPr>
        <w:t>7</w:t>
      </w:r>
      <w:r>
        <w:rPr>
          <w:sz w:val="24"/>
          <w:szCs w:val="24"/>
        </w:rPr>
        <w:fldChar w:fldCharType="end"/>
      </w:r>
      <w:r>
        <w:rPr>
          <w:sz w:val="24"/>
          <w:szCs w:val="24"/>
        </w:rPr>
        <w:fldChar w:fldCharType="end"/>
      </w:r>
    </w:p>
    <w:p w14:paraId="3A5A0FDA">
      <w:pPr>
        <w:pStyle w:val="16"/>
        <w:tabs>
          <w:tab w:val="right" w:leader="dot" w:pos="9060"/>
        </w:tabs>
        <w:spacing w:line="360" w:lineRule="auto"/>
        <w:rPr>
          <w:sz w:val="28"/>
          <w:szCs w:val="32"/>
          <w14:ligatures w14:val="standardContextual"/>
        </w:rPr>
      </w:pPr>
      <w:r>
        <w:fldChar w:fldCharType="begin"/>
      </w:r>
      <w:r>
        <w:instrText xml:space="preserve"> HYPERLINK \l "_Toc197985357" </w:instrText>
      </w:r>
      <w:r>
        <w:fldChar w:fldCharType="separate"/>
      </w:r>
      <w:r>
        <w:rPr>
          <w:rStyle w:val="27"/>
          <w:sz w:val="24"/>
          <w:szCs w:val="24"/>
        </w:rPr>
        <w:t>附录A</w:t>
      </w:r>
      <w:r>
        <w:rPr>
          <w:sz w:val="24"/>
          <w:szCs w:val="24"/>
        </w:rPr>
        <w:tab/>
      </w:r>
      <w:r>
        <w:rPr>
          <w:sz w:val="24"/>
          <w:szCs w:val="24"/>
        </w:rPr>
        <w:fldChar w:fldCharType="begin"/>
      </w:r>
      <w:r>
        <w:rPr>
          <w:sz w:val="24"/>
          <w:szCs w:val="24"/>
        </w:rPr>
        <w:instrText xml:space="preserve"> PAGEREF _Toc197985357 \h </w:instrText>
      </w:r>
      <w:r>
        <w:rPr>
          <w:sz w:val="24"/>
          <w:szCs w:val="24"/>
        </w:rPr>
        <w:fldChar w:fldCharType="separate"/>
      </w:r>
      <w:r>
        <w:rPr>
          <w:sz w:val="24"/>
          <w:szCs w:val="24"/>
        </w:rPr>
        <w:t>8</w:t>
      </w:r>
      <w:r>
        <w:rPr>
          <w:sz w:val="24"/>
          <w:szCs w:val="24"/>
        </w:rPr>
        <w:fldChar w:fldCharType="end"/>
      </w:r>
      <w:r>
        <w:rPr>
          <w:sz w:val="24"/>
          <w:szCs w:val="24"/>
        </w:rPr>
        <w:fldChar w:fldCharType="end"/>
      </w:r>
    </w:p>
    <w:p w14:paraId="2C1EFA5C">
      <w:pPr>
        <w:pStyle w:val="16"/>
        <w:tabs>
          <w:tab w:val="right" w:leader="dot" w:pos="9060"/>
        </w:tabs>
        <w:spacing w:line="360" w:lineRule="auto"/>
        <w:rPr>
          <w:sz w:val="28"/>
          <w:szCs w:val="32"/>
          <w14:ligatures w14:val="standardContextual"/>
        </w:rPr>
      </w:pPr>
      <w:r>
        <w:fldChar w:fldCharType="begin"/>
      </w:r>
      <w:r>
        <w:instrText xml:space="preserve"> HYPERLINK \l "_Toc197985358" </w:instrText>
      </w:r>
      <w:r>
        <w:fldChar w:fldCharType="separate"/>
      </w:r>
      <w:r>
        <w:rPr>
          <w:rStyle w:val="27"/>
          <w:sz w:val="24"/>
          <w:szCs w:val="24"/>
        </w:rPr>
        <w:t>附录B</w:t>
      </w:r>
      <w:r>
        <w:rPr>
          <w:sz w:val="24"/>
          <w:szCs w:val="24"/>
        </w:rPr>
        <w:tab/>
      </w:r>
      <w:r>
        <w:rPr>
          <w:sz w:val="24"/>
          <w:szCs w:val="24"/>
        </w:rPr>
        <w:fldChar w:fldCharType="begin"/>
      </w:r>
      <w:r>
        <w:rPr>
          <w:sz w:val="24"/>
          <w:szCs w:val="24"/>
        </w:rPr>
        <w:instrText xml:space="preserve"> PAGEREF _Toc197985358 \h </w:instrText>
      </w:r>
      <w:r>
        <w:rPr>
          <w:sz w:val="24"/>
          <w:szCs w:val="24"/>
        </w:rPr>
        <w:fldChar w:fldCharType="separate"/>
      </w:r>
      <w:r>
        <w:rPr>
          <w:sz w:val="24"/>
          <w:szCs w:val="24"/>
        </w:rPr>
        <w:t>12</w:t>
      </w:r>
      <w:r>
        <w:rPr>
          <w:sz w:val="24"/>
          <w:szCs w:val="24"/>
        </w:rPr>
        <w:fldChar w:fldCharType="end"/>
      </w:r>
      <w:r>
        <w:rPr>
          <w:sz w:val="24"/>
          <w:szCs w:val="24"/>
        </w:rPr>
        <w:fldChar w:fldCharType="end"/>
      </w:r>
    </w:p>
    <w:p w14:paraId="3B775EEF">
      <w:pPr>
        <w:pStyle w:val="16"/>
        <w:tabs>
          <w:tab w:val="right" w:leader="dot" w:pos="9060"/>
        </w:tabs>
        <w:spacing w:line="360" w:lineRule="auto"/>
        <w:rPr>
          <w:sz w:val="28"/>
          <w:szCs w:val="32"/>
          <w14:ligatures w14:val="standardContextual"/>
        </w:rPr>
      </w:pPr>
      <w:r>
        <w:fldChar w:fldCharType="begin"/>
      </w:r>
      <w:r>
        <w:instrText xml:space="preserve"> HYPERLINK \l "_Toc197985359" </w:instrText>
      </w:r>
      <w:r>
        <w:fldChar w:fldCharType="separate"/>
      </w:r>
      <w:r>
        <w:rPr>
          <w:rStyle w:val="27"/>
          <w:sz w:val="24"/>
          <w:szCs w:val="24"/>
        </w:rPr>
        <w:t>附录C</w:t>
      </w:r>
      <w:r>
        <w:rPr>
          <w:sz w:val="24"/>
          <w:szCs w:val="24"/>
        </w:rPr>
        <w:tab/>
      </w:r>
      <w:r>
        <w:rPr>
          <w:sz w:val="24"/>
          <w:szCs w:val="24"/>
        </w:rPr>
        <w:fldChar w:fldCharType="begin"/>
      </w:r>
      <w:r>
        <w:rPr>
          <w:sz w:val="24"/>
          <w:szCs w:val="24"/>
        </w:rPr>
        <w:instrText xml:space="preserve"> PAGEREF _Toc197985359 \h </w:instrText>
      </w:r>
      <w:r>
        <w:rPr>
          <w:sz w:val="24"/>
          <w:szCs w:val="24"/>
        </w:rPr>
        <w:fldChar w:fldCharType="separate"/>
      </w:r>
      <w:r>
        <w:rPr>
          <w:sz w:val="24"/>
          <w:szCs w:val="24"/>
        </w:rPr>
        <w:t>16</w:t>
      </w:r>
      <w:r>
        <w:rPr>
          <w:sz w:val="24"/>
          <w:szCs w:val="24"/>
        </w:rPr>
        <w:fldChar w:fldCharType="end"/>
      </w:r>
      <w:r>
        <w:rPr>
          <w:sz w:val="24"/>
          <w:szCs w:val="24"/>
        </w:rPr>
        <w:fldChar w:fldCharType="end"/>
      </w:r>
    </w:p>
    <w:p w14:paraId="6D81C38C">
      <w:pPr>
        <w:pStyle w:val="16"/>
        <w:tabs>
          <w:tab w:val="right" w:leader="dot" w:pos="9060"/>
        </w:tabs>
        <w:spacing w:line="360" w:lineRule="auto"/>
        <w:rPr>
          <w:sz w:val="28"/>
          <w:szCs w:val="32"/>
          <w14:ligatures w14:val="standardContextual"/>
        </w:rPr>
      </w:pPr>
      <w:r>
        <w:fldChar w:fldCharType="begin"/>
      </w:r>
      <w:r>
        <w:instrText xml:space="preserve"> HYPERLINK \l "_Toc197985360" </w:instrText>
      </w:r>
      <w:r>
        <w:fldChar w:fldCharType="separate"/>
      </w:r>
      <w:r>
        <w:rPr>
          <w:rStyle w:val="27"/>
          <w:sz w:val="24"/>
          <w:szCs w:val="24"/>
        </w:rPr>
        <w:t>附录D</w:t>
      </w:r>
      <w:r>
        <w:rPr>
          <w:sz w:val="24"/>
          <w:szCs w:val="24"/>
        </w:rPr>
        <w:tab/>
      </w:r>
      <w:r>
        <w:rPr>
          <w:sz w:val="24"/>
          <w:szCs w:val="24"/>
        </w:rPr>
        <w:fldChar w:fldCharType="begin"/>
      </w:r>
      <w:r>
        <w:rPr>
          <w:sz w:val="24"/>
          <w:szCs w:val="24"/>
        </w:rPr>
        <w:instrText xml:space="preserve"> PAGEREF _Toc197985360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70411CB2">
      <w:pPr>
        <w:spacing w:line="360" w:lineRule="auto"/>
        <w:ind w:firstLine="570"/>
        <w:jc w:val="center"/>
        <w:rPr>
          <w:sz w:val="24"/>
          <w:szCs w:val="24"/>
        </w:rPr>
        <w:sectPr>
          <w:headerReference r:id="rId9" w:type="default"/>
          <w:footerReference r:id="rId10" w:type="default"/>
          <w:pgSz w:w="11906" w:h="16838"/>
          <w:pgMar w:top="1264" w:right="1418" w:bottom="1418" w:left="1418" w:header="851" w:footer="992" w:gutter="0"/>
          <w:pgNumType w:fmt="upperRoman" w:start="1"/>
          <w:cols w:space="720" w:num="1"/>
          <w:docGrid w:type="lines" w:linePitch="312" w:charSpace="0"/>
        </w:sectPr>
      </w:pPr>
      <w:r>
        <w:rPr>
          <w:sz w:val="32"/>
          <w:szCs w:val="32"/>
        </w:rPr>
        <w:fldChar w:fldCharType="end"/>
      </w:r>
    </w:p>
    <w:p w14:paraId="0CF6DA25">
      <w:pPr>
        <w:autoSpaceDE w:val="0"/>
        <w:autoSpaceDN w:val="0"/>
        <w:spacing w:before="936" w:beforeLines="300"/>
        <w:jc w:val="center"/>
        <w:outlineLvl w:val="0"/>
        <w:rPr>
          <w:sz w:val="36"/>
          <w:szCs w:val="18"/>
        </w:rPr>
      </w:pPr>
      <w:bookmarkStart w:id="11" w:name="_Toc197985342"/>
      <w:bookmarkStart w:id="12" w:name="_Toc54707737"/>
      <w:bookmarkStart w:id="13" w:name="_Toc150304306"/>
      <w:r>
        <w:rPr>
          <w:sz w:val="36"/>
          <w:szCs w:val="36"/>
        </w:rPr>
        <w:t>引 言</w:t>
      </w:r>
      <w:bookmarkEnd w:id="11"/>
      <w:bookmarkEnd w:id="12"/>
      <w:bookmarkEnd w:id="13"/>
    </w:p>
    <w:p w14:paraId="751B6C1E">
      <w:pPr>
        <w:spacing w:line="360" w:lineRule="auto"/>
        <w:ind w:firstLine="480" w:firstLineChars="200"/>
        <w:rPr>
          <w:sz w:val="24"/>
        </w:rPr>
      </w:pPr>
      <w:r>
        <w:rPr>
          <w:sz w:val="24"/>
        </w:rPr>
        <w:t>JJF 1071《国家计量校准规范编写规则》、JJF 1001《通用计量术语及定义》、JJF 1059.1《测量不确定度评定与表示》共同构成支撑本校准规范制定工作的基础性系列规范。本规范参照</w:t>
      </w:r>
      <w:r>
        <w:fldChar w:fldCharType="begin"/>
      </w:r>
      <w:r>
        <w:instrText xml:space="preserve">HYPERLINK "https://www.baidu.com/link?url=IwDitZ_r8OdGCiMRFLOtuidpvFKeJK3_PYuDfGUN4JHkOp1lFpVlxfoYpbSw7FRw7mAgkP3OhVpEt4HRcZLW8K&amp;wd=&amp;eqid=ab4702f3000d7db300000006654a13ba" \t "_blank"</w:instrText>
      </w:r>
      <w:r>
        <w:fldChar w:fldCharType="separate"/>
      </w:r>
      <w:r>
        <w:rPr>
          <w:sz w:val="24"/>
        </w:rPr>
        <w:t>GA/T 12444-2006《金属材料磨损试验方法试环-试块滑动磨损试验》</w:t>
      </w:r>
      <w:r>
        <w:fldChar w:fldCharType="end"/>
      </w:r>
      <w:r>
        <w:rPr>
          <w:sz w:val="24"/>
        </w:rPr>
        <w:t>、GA/T 3960-2016 《塑料 滑动摩擦磨损试验方法》、ASTM G99-05(2016) 《销盘装置上磨损试验的标准试验方法》、ASTM G133-05(2016) 《直线往复球平面滑动磨损的标准试验方法》标准的要求编写。</w:t>
      </w:r>
    </w:p>
    <w:p w14:paraId="380FC152">
      <w:pPr>
        <w:autoSpaceDE w:val="0"/>
        <w:autoSpaceDN w:val="0"/>
        <w:spacing w:line="360" w:lineRule="auto"/>
        <w:ind w:firstLine="480" w:firstLineChars="200"/>
      </w:pPr>
      <w:r>
        <w:rPr>
          <w:sz w:val="24"/>
        </w:rPr>
        <w:t>本规范为首次发布。</w:t>
      </w:r>
    </w:p>
    <w:p w14:paraId="4F783B88">
      <w:pPr>
        <w:spacing w:line="360" w:lineRule="auto"/>
        <w:sectPr>
          <w:footerReference r:id="rId11" w:type="default"/>
          <w:pgSz w:w="11906" w:h="16838"/>
          <w:pgMar w:top="1264" w:right="1418" w:bottom="1418" w:left="1418" w:header="851" w:footer="992" w:gutter="0"/>
          <w:pgNumType w:fmt="upperRoman" w:start="1"/>
          <w:cols w:space="720" w:num="1"/>
          <w:docGrid w:type="lines" w:linePitch="312" w:charSpace="0"/>
        </w:sectPr>
      </w:pPr>
    </w:p>
    <w:p w14:paraId="5290BAF4">
      <w:pPr>
        <w:jc w:val="center"/>
        <w:rPr>
          <w:b/>
          <w:bCs/>
          <w:sz w:val="32"/>
          <w:szCs w:val="32"/>
        </w:rPr>
      </w:pPr>
      <w:r>
        <w:rPr>
          <w:rFonts w:hint="eastAsia"/>
          <w:b/>
          <w:bCs/>
          <w:sz w:val="32"/>
          <w:szCs w:val="32"/>
        </w:rPr>
        <w:t>材料摩擦磨损试验机系统切向刚度计量测试规范</w:t>
      </w:r>
    </w:p>
    <w:p w14:paraId="156107B9">
      <w:pPr>
        <w:pStyle w:val="2"/>
        <w:spacing w:before="312" w:beforeLines="100"/>
        <w:ind w:firstLine="0" w:firstLineChars="0"/>
        <w:rPr>
          <w:b/>
          <w:bCs/>
          <w:sz w:val="24"/>
          <w:szCs w:val="24"/>
        </w:rPr>
      </w:pPr>
      <w:bookmarkStart w:id="14" w:name="_Toc197985343"/>
      <w:bookmarkStart w:id="15" w:name="_Toc150304307"/>
      <w:r>
        <w:rPr>
          <w:b/>
          <w:bCs/>
          <w:sz w:val="24"/>
          <w:szCs w:val="24"/>
        </w:rPr>
        <w:t>1  范围</w:t>
      </w:r>
      <w:bookmarkEnd w:id="14"/>
      <w:bookmarkEnd w:id="15"/>
    </w:p>
    <w:p w14:paraId="4671F8F5">
      <w:pPr>
        <w:spacing w:before="156" w:beforeLines="50" w:line="360" w:lineRule="auto"/>
        <w:ind w:firstLine="482"/>
        <w:rPr>
          <w:sz w:val="24"/>
          <w:szCs w:val="24"/>
        </w:rPr>
      </w:pPr>
      <w:r>
        <w:rPr>
          <w:sz w:val="24"/>
          <w:szCs w:val="24"/>
        </w:rPr>
        <w:t>本规范适用于</w:t>
      </w:r>
      <w:r>
        <w:rPr>
          <w:rFonts w:hint="eastAsia"/>
          <w:sz w:val="24"/>
          <w:szCs w:val="24"/>
        </w:rPr>
        <w:t>材料</w:t>
      </w:r>
      <w:r>
        <w:rPr>
          <w:sz w:val="24"/>
          <w:szCs w:val="24"/>
        </w:rPr>
        <w:t>摩擦磨损试验机（包含切向微动磨损试验机和往复式滑动磨损试验机）</w:t>
      </w:r>
      <w:r>
        <w:rPr>
          <w:rFonts w:hint="eastAsia"/>
          <w:sz w:val="24"/>
          <w:szCs w:val="24"/>
        </w:rPr>
        <w:t>法向载荷加载结构</w:t>
      </w:r>
      <w:r>
        <w:rPr>
          <w:sz w:val="24"/>
          <w:szCs w:val="24"/>
        </w:rPr>
        <w:t>系统切向刚度的测试校准。</w:t>
      </w:r>
    </w:p>
    <w:p w14:paraId="1D68A40D">
      <w:pPr>
        <w:pStyle w:val="2"/>
        <w:spacing w:before="312" w:beforeLines="100"/>
        <w:ind w:firstLine="0" w:firstLineChars="0"/>
        <w:rPr>
          <w:b/>
          <w:bCs/>
          <w:sz w:val="24"/>
          <w:szCs w:val="24"/>
        </w:rPr>
      </w:pPr>
      <w:bookmarkStart w:id="16" w:name="_Toc150304308"/>
      <w:bookmarkStart w:id="17" w:name="_Toc197985344"/>
      <w:r>
        <w:rPr>
          <w:b/>
          <w:bCs/>
          <w:sz w:val="24"/>
          <w:szCs w:val="24"/>
        </w:rPr>
        <w:t>2  引用文件</w:t>
      </w:r>
      <w:bookmarkEnd w:id="16"/>
      <w:bookmarkEnd w:id="17"/>
    </w:p>
    <w:p w14:paraId="526A406B">
      <w:pPr>
        <w:spacing w:line="312" w:lineRule="auto"/>
        <w:ind w:firstLine="480" w:firstLineChars="200"/>
        <w:rPr>
          <w:sz w:val="24"/>
          <w:szCs w:val="24"/>
        </w:rPr>
      </w:pPr>
      <w:r>
        <w:rPr>
          <w:sz w:val="24"/>
          <w:szCs w:val="24"/>
        </w:rPr>
        <w:t>本规范引用下列文件：</w:t>
      </w:r>
    </w:p>
    <w:p w14:paraId="1E1F1257">
      <w:pPr>
        <w:spacing w:line="360" w:lineRule="auto"/>
        <w:ind w:left="420" w:leftChars="200"/>
        <w:rPr>
          <w:sz w:val="24"/>
        </w:rPr>
      </w:pPr>
      <w:r>
        <w:rPr>
          <w:rFonts w:hint="eastAsia"/>
          <w:sz w:val="24"/>
        </w:rPr>
        <w:t>JJF1071-2010国家计量校准规范编写规则；</w:t>
      </w:r>
    </w:p>
    <w:p w14:paraId="51361D77">
      <w:pPr>
        <w:spacing w:line="360" w:lineRule="auto"/>
        <w:ind w:left="420" w:leftChars="200"/>
        <w:rPr>
          <w:sz w:val="24"/>
        </w:rPr>
      </w:pPr>
      <w:r>
        <w:fldChar w:fldCharType="begin"/>
      </w:r>
      <w:r>
        <w:instrText xml:space="preserve"> HYPERLINK "https://www.baidu.com/link?url=IwDitZ_r8OdGCiMRFLOtuidpvFKeJK3_PYuDfGUN4JHkOp1lFpVlxfoYpbSw7FRw7mAgkP3OhVpEt4HRcZLW8K&amp;wd=&amp;eqid=ab4702f3000d7db300000006654a13ba" \t "_blank" </w:instrText>
      </w:r>
      <w:r>
        <w:fldChar w:fldCharType="separate"/>
      </w:r>
      <w:r>
        <w:rPr>
          <w:sz w:val="24"/>
        </w:rPr>
        <w:t>GA/T 12444-2006 金属材料磨损试验方法试环-试块滑动磨损试验</w:t>
      </w:r>
      <w:r>
        <w:rPr>
          <w:sz w:val="24"/>
        </w:rPr>
        <w:fldChar w:fldCharType="end"/>
      </w:r>
      <w:r>
        <w:rPr>
          <w:sz w:val="24"/>
        </w:rPr>
        <w:t>；</w:t>
      </w:r>
    </w:p>
    <w:p w14:paraId="24153AD8">
      <w:pPr>
        <w:spacing w:line="360" w:lineRule="auto"/>
        <w:ind w:left="420" w:leftChars="200"/>
        <w:rPr>
          <w:sz w:val="24"/>
        </w:rPr>
      </w:pPr>
      <w:r>
        <w:rPr>
          <w:sz w:val="24"/>
        </w:rPr>
        <w:t>GA/T 3960-2016 塑料-滑动摩擦磨损试验方法；</w:t>
      </w:r>
    </w:p>
    <w:p w14:paraId="5D7F376D">
      <w:pPr>
        <w:spacing w:line="360" w:lineRule="auto"/>
        <w:ind w:left="420" w:leftChars="200"/>
        <w:rPr>
          <w:sz w:val="24"/>
        </w:rPr>
      </w:pPr>
      <w:r>
        <w:rPr>
          <w:sz w:val="24"/>
        </w:rPr>
        <w:t>ASTM G133-05 (2016) 直线往复球平面滑动磨损的标准试验方法。</w:t>
      </w:r>
    </w:p>
    <w:p w14:paraId="747E2AF5">
      <w:pPr>
        <w:pStyle w:val="2"/>
        <w:spacing w:before="312" w:beforeLines="100"/>
        <w:ind w:firstLine="0" w:firstLineChars="0"/>
        <w:rPr>
          <w:b/>
          <w:bCs/>
          <w:sz w:val="24"/>
          <w:szCs w:val="24"/>
        </w:rPr>
      </w:pPr>
      <w:bookmarkStart w:id="18" w:name="_Toc197985345"/>
      <w:r>
        <w:rPr>
          <w:b/>
          <w:bCs/>
          <w:sz w:val="24"/>
          <w:szCs w:val="24"/>
        </w:rPr>
        <w:t>3  术语和计量单位</w:t>
      </w:r>
      <w:bookmarkEnd w:id="18"/>
    </w:p>
    <w:p w14:paraId="4AF6C4B1">
      <w:pPr>
        <w:spacing w:before="156" w:beforeLines="50" w:line="360" w:lineRule="auto"/>
        <w:rPr>
          <w:rFonts w:eastAsia="仿宋"/>
          <w:kern w:val="0"/>
          <w:sz w:val="24"/>
          <w:szCs w:val="24"/>
        </w:rPr>
      </w:pPr>
      <w:r>
        <w:rPr>
          <w:rFonts w:hint="eastAsia" w:eastAsia="仿宋"/>
          <w:kern w:val="0"/>
          <w:sz w:val="24"/>
          <w:szCs w:val="24"/>
        </w:rPr>
        <w:t>3.1 摩擦磨损试验机</w:t>
      </w:r>
      <w:r>
        <w:rPr>
          <w:rFonts w:eastAsia="仿宋"/>
          <w:kern w:val="0"/>
          <w:sz w:val="24"/>
          <w:szCs w:val="24"/>
        </w:rPr>
        <w:t>Tribological Testing Systems</w:t>
      </w:r>
    </w:p>
    <w:p w14:paraId="2B5F79BC">
      <w:pPr>
        <w:spacing w:line="360" w:lineRule="auto"/>
        <w:ind w:firstLine="480" w:firstLineChars="200"/>
        <w:rPr>
          <w:sz w:val="24"/>
          <w:szCs w:val="24"/>
        </w:rPr>
      </w:pPr>
      <w:r>
        <w:rPr>
          <w:rFonts w:hint="eastAsia"/>
          <w:sz w:val="24"/>
          <w:szCs w:val="24"/>
        </w:rPr>
        <w:t>摩擦磨损试验机是一种用于模拟材料在特定工况下（如载荷、速度、温度、润滑条件等）的摩擦接触行为，并通过定量测量摩擦系数、磨损量及表面损伤形貌，评估材料耐磨性、润滑性能或涂层耐久性的专用实验设备。</w:t>
      </w:r>
    </w:p>
    <w:p w14:paraId="2742FB75">
      <w:pPr>
        <w:spacing w:before="156" w:beforeLines="50" w:line="360" w:lineRule="auto"/>
        <w:rPr>
          <w:rFonts w:eastAsia="仿宋"/>
          <w:kern w:val="0"/>
          <w:sz w:val="24"/>
          <w:szCs w:val="24"/>
        </w:rPr>
      </w:pPr>
      <w:r>
        <w:rPr>
          <w:rFonts w:eastAsia="仿宋"/>
          <w:kern w:val="0"/>
          <w:sz w:val="24"/>
          <w:szCs w:val="24"/>
        </w:rPr>
        <w:t>3.</w:t>
      </w:r>
      <w:r>
        <w:rPr>
          <w:rFonts w:hint="eastAsia" w:eastAsia="仿宋"/>
          <w:kern w:val="0"/>
          <w:sz w:val="24"/>
          <w:szCs w:val="24"/>
        </w:rPr>
        <w:t>2</w:t>
      </w:r>
      <w:r>
        <w:rPr>
          <w:rFonts w:eastAsia="仿宋"/>
          <w:kern w:val="0"/>
          <w:sz w:val="24"/>
          <w:szCs w:val="24"/>
        </w:rPr>
        <w:t xml:space="preserve"> 往复滑动磨损 Sliding wear</w:t>
      </w:r>
    </w:p>
    <w:p w14:paraId="4FB5741F">
      <w:pPr>
        <w:spacing w:line="360" w:lineRule="auto"/>
        <w:ind w:firstLine="480" w:firstLineChars="200"/>
        <w:rPr>
          <w:sz w:val="24"/>
          <w:szCs w:val="24"/>
        </w:rPr>
      </w:pPr>
      <w:r>
        <w:rPr>
          <w:rFonts w:hint="eastAsia"/>
          <w:sz w:val="24"/>
          <w:szCs w:val="24"/>
        </w:rPr>
        <w:t>往复滑动磨损是指两个接触表面在周期性往复（来回）滑动运动中，因机械摩擦、接触应力及环境因素（如温度、润滑条件等）的相互作用，导致表面材料逐渐损失或性能退化的现象。</w:t>
      </w:r>
    </w:p>
    <w:p w14:paraId="7F34A113">
      <w:pPr>
        <w:spacing w:before="156" w:beforeLines="50" w:line="360" w:lineRule="auto"/>
        <w:rPr>
          <w:rFonts w:eastAsia="仿宋"/>
          <w:kern w:val="0"/>
          <w:sz w:val="24"/>
          <w:szCs w:val="24"/>
        </w:rPr>
      </w:pPr>
      <w:r>
        <w:rPr>
          <w:rFonts w:eastAsia="仿宋"/>
          <w:kern w:val="0"/>
          <w:sz w:val="24"/>
          <w:szCs w:val="24"/>
        </w:rPr>
        <w:t>3.</w:t>
      </w:r>
      <w:r>
        <w:rPr>
          <w:rFonts w:hint="eastAsia" w:eastAsia="仿宋"/>
          <w:kern w:val="0"/>
          <w:sz w:val="24"/>
          <w:szCs w:val="24"/>
        </w:rPr>
        <w:t>3</w:t>
      </w:r>
      <w:r>
        <w:rPr>
          <w:rFonts w:eastAsia="仿宋"/>
          <w:kern w:val="0"/>
          <w:sz w:val="24"/>
          <w:szCs w:val="24"/>
        </w:rPr>
        <w:t xml:space="preserve"> 切向微动磨损 Tangential fretting</w:t>
      </w:r>
    </w:p>
    <w:p w14:paraId="00A5A53B">
      <w:pPr>
        <w:spacing w:line="360" w:lineRule="auto"/>
        <w:ind w:firstLine="480" w:firstLineChars="200"/>
        <w:rPr>
          <w:sz w:val="24"/>
          <w:szCs w:val="24"/>
        </w:rPr>
      </w:pPr>
      <w:r>
        <w:rPr>
          <w:rFonts w:hint="eastAsia"/>
          <w:sz w:val="24"/>
          <w:szCs w:val="24"/>
        </w:rPr>
        <w:t>切向微动磨损是指两个接触表面在微小振幅（通常为</w:t>
      </w:r>
      <w:r>
        <w:rPr>
          <w:sz w:val="24"/>
          <w:szCs w:val="24"/>
        </w:rPr>
        <w:t>μ</w:t>
      </w:r>
      <w:r>
        <w:rPr>
          <w:rFonts w:hint="eastAsia"/>
          <w:sz w:val="24"/>
          <w:szCs w:val="24"/>
        </w:rPr>
        <w:t>m量级）的切向（平行于接触面方向）往复相对运动下，因机械摩擦、循环应力及环境介质的共同作用，导致表面材料逐渐损失或性能退化的现象</w:t>
      </w:r>
    </w:p>
    <w:p w14:paraId="27442350">
      <w:pPr>
        <w:spacing w:before="156" w:beforeLines="50" w:line="360" w:lineRule="auto"/>
        <w:rPr>
          <w:rFonts w:eastAsia="仿宋"/>
          <w:kern w:val="0"/>
          <w:sz w:val="24"/>
          <w:szCs w:val="24"/>
        </w:rPr>
      </w:pPr>
      <w:r>
        <w:rPr>
          <w:rFonts w:eastAsia="仿宋"/>
          <w:kern w:val="0"/>
          <w:sz w:val="24"/>
          <w:szCs w:val="24"/>
        </w:rPr>
        <w:t>3.4</w:t>
      </w:r>
      <w:r>
        <w:rPr>
          <w:rFonts w:hint="eastAsia" w:eastAsia="仿宋"/>
          <w:kern w:val="0"/>
          <w:sz w:val="24"/>
          <w:szCs w:val="24"/>
        </w:rPr>
        <w:t xml:space="preserve"> </w:t>
      </w:r>
      <w:r>
        <w:rPr>
          <w:rFonts w:eastAsia="仿宋"/>
          <w:kern w:val="0"/>
          <w:sz w:val="24"/>
          <w:szCs w:val="24"/>
        </w:rPr>
        <w:t>系统切向刚度 System stiffness（</w:t>
      </w:r>
      <w:r>
        <w:rPr>
          <w:rFonts w:eastAsia="仿宋"/>
          <w:i/>
          <w:iCs/>
          <w:kern w:val="0"/>
          <w:sz w:val="24"/>
          <w:szCs w:val="24"/>
        </w:rPr>
        <w:t>K</w:t>
      </w:r>
      <w:r>
        <w:rPr>
          <w:rFonts w:eastAsia="仿宋"/>
          <w:kern w:val="0"/>
          <w:sz w:val="24"/>
          <w:szCs w:val="24"/>
          <w:vertAlign w:val="subscript"/>
        </w:rPr>
        <w:t>system</w:t>
      </w:r>
      <w:r>
        <w:rPr>
          <w:rFonts w:eastAsia="仿宋"/>
          <w:kern w:val="0"/>
          <w:sz w:val="24"/>
          <w:szCs w:val="24"/>
        </w:rPr>
        <w:t>）</w:t>
      </w:r>
    </w:p>
    <w:p w14:paraId="66BE22CD">
      <w:pPr>
        <w:spacing w:line="360" w:lineRule="auto"/>
        <w:ind w:firstLine="480" w:firstLineChars="200"/>
        <w:rPr>
          <w:sz w:val="24"/>
          <w:szCs w:val="24"/>
        </w:rPr>
      </w:pPr>
      <w:r>
        <w:rPr>
          <w:rFonts w:hint="eastAsia"/>
          <w:sz w:val="24"/>
          <w:szCs w:val="24"/>
        </w:rPr>
        <w:t>系统切向刚度是指一个机械系统或结构在受到切向力（平行于接触面或作用面的力）时，其结构抵抗变形的能力，即机械系统在切向力作用下产生单位位移所需的力值，其反映了系统在切向方向上的刚性或“软硬程度”，单位为牛/米（N/m）或牛/毫米（N/mm）。</w:t>
      </w:r>
    </w:p>
    <w:p w14:paraId="1C912D05">
      <w:pPr>
        <w:pStyle w:val="2"/>
        <w:spacing w:before="312" w:beforeLines="100"/>
        <w:ind w:firstLine="0" w:firstLineChars="0"/>
        <w:rPr>
          <w:b/>
          <w:bCs/>
          <w:sz w:val="24"/>
          <w:szCs w:val="24"/>
        </w:rPr>
      </w:pPr>
      <w:bookmarkStart w:id="19" w:name="_Toc150304309"/>
      <w:bookmarkStart w:id="20" w:name="_Toc197985346"/>
      <w:r>
        <w:rPr>
          <w:b/>
          <w:bCs/>
          <w:sz w:val="24"/>
          <w:szCs w:val="24"/>
        </w:rPr>
        <w:t>4  概述</w:t>
      </w:r>
      <w:bookmarkEnd w:id="19"/>
      <w:bookmarkEnd w:id="20"/>
    </w:p>
    <w:p w14:paraId="0878E03A">
      <w:pPr>
        <w:spacing w:line="360" w:lineRule="auto"/>
        <w:ind w:firstLine="480"/>
        <w:rPr>
          <w:sz w:val="24"/>
          <w:szCs w:val="24"/>
        </w:rPr>
      </w:pPr>
      <w:r>
        <w:rPr>
          <w:rFonts w:hint="eastAsia"/>
          <w:sz w:val="24"/>
          <w:szCs w:val="24"/>
        </w:rPr>
        <w:t>材料</w:t>
      </w:r>
      <w:r>
        <w:rPr>
          <w:sz w:val="24"/>
          <w:szCs w:val="24"/>
        </w:rPr>
        <w:t>摩擦磨损试验机</w:t>
      </w:r>
      <w:r>
        <w:rPr>
          <w:rFonts w:hint="eastAsia"/>
          <w:sz w:val="24"/>
          <w:szCs w:val="24"/>
        </w:rPr>
        <w:t>（以下简称试验机）</w:t>
      </w:r>
      <w:r>
        <w:rPr>
          <w:sz w:val="24"/>
          <w:szCs w:val="24"/>
        </w:rPr>
        <w:t>是一种对材料及润滑剂在给定条件下进行摩擦与磨损性能试验的仪器。试验机按切向运动行程可分为往复式摩擦磨损试验机、微动磨损试验机等多种类型。</w:t>
      </w:r>
    </w:p>
    <w:p w14:paraId="203EC885">
      <w:pPr>
        <w:spacing w:line="360" w:lineRule="auto"/>
        <w:ind w:firstLine="480"/>
        <w:rPr>
          <w:sz w:val="24"/>
          <w:szCs w:val="24"/>
        </w:rPr>
      </w:pPr>
      <w:r>
        <w:rPr>
          <w:sz w:val="24"/>
          <w:szCs w:val="24"/>
        </w:rPr>
        <w:t>往复式摩擦磨损试验机可实现材料或涂层在往复运动工况下的摩擦磨损性能检测，可通过调节往复运动位移、速度、法向载荷等参数，动态检测摩擦副的摩擦力，并实时绘制摩擦系数曲线。往复式摩擦磨损试验机位移幅值一般在mm量级，且不可连续调整。图1所示为往复式摩擦磨损试验机结构示意图。</w:t>
      </w:r>
    </w:p>
    <w:p w14:paraId="239F59AE">
      <w:pPr>
        <w:spacing w:line="360" w:lineRule="auto"/>
        <w:ind w:firstLine="480"/>
        <w:rPr>
          <w:sz w:val="24"/>
          <w:szCs w:val="24"/>
        </w:rPr>
      </w:pPr>
      <w:r>
        <w:rPr>
          <w:sz w:val="24"/>
          <w:szCs w:val="24"/>
        </w:rPr>
        <w:t>微动磨损试验机是一种用于研究摩擦配副材料在微小相对位移（通常在μm量级）驱动下的摩擦学行为和磨损性能的科学仪器。微动磨损试验机一般为切向运行模式（往复直线运动），其位移控制精度</w:t>
      </w:r>
      <w:r>
        <w:rPr>
          <w:rFonts w:hint="eastAsia"/>
          <w:sz w:val="24"/>
          <w:szCs w:val="24"/>
        </w:rPr>
        <w:t>为</w:t>
      </w:r>
      <w:r>
        <w:rPr>
          <w:sz w:val="24"/>
          <w:szCs w:val="24"/>
        </w:rPr>
        <w:t>μm量级，图2所示为切向微动磨损试验机结构示意图。</w:t>
      </w:r>
    </w:p>
    <w:p w14:paraId="33402700">
      <w:pPr>
        <w:spacing w:line="276" w:lineRule="auto"/>
        <w:jc w:val="center"/>
        <w:rPr>
          <w:sz w:val="24"/>
          <w:szCs w:val="24"/>
        </w:rPr>
      </w:pPr>
      <w:r>
        <w:drawing>
          <wp:inline distT="0" distB="0" distL="0" distR="0">
            <wp:extent cx="4678680" cy="1562735"/>
            <wp:effectExtent l="0" t="0" r="7620" b="0"/>
            <wp:docPr id="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b="3889"/>
                    <a:stretch>
                      <a:fillRect/>
                    </a:stretch>
                  </pic:blipFill>
                  <pic:spPr>
                    <a:xfrm>
                      <a:off x="0" y="0"/>
                      <a:ext cx="4680000" cy="1563364"/>
                    </a:xfrm>
                    <a:prstGeom prst="rect">
                      <a:avLst/>
                    </a:prstGeom>
                    <a:noFill/>
                    <a:ln>
                      <a:noFill/>
                    </a:ln>
                  </pic:spPr>
                </pic:pic>
              </a:graphicData>
            </a:graphic>
          </wp:inline>
        </w:drawing>
      </w:r>
    </w:p>
    <w:p w14:paraId="3F250D15">
      <w:pPr>
        <w:spacing w:line="360" w:lineRule="auto"/>
        <w:jc w:val="center"/>
        <w:rPr>
          <w:kern w:val="21"/>
          <w:szCs w:val="18"/>
        </w:rPr>
      </w:pPr>
      <w:r>
        <w:rPr>
          <w:kern w:val="21"/>
          <w:szCs w:val="18"/>
        </w:rPr>
        <w:t>图1 往复式摩擦磨损试验机结构原理</w:t>
      </w:r>
    </w:p>
    <w:p w14:paraId="0B73AF8E">
      <w:pPr>
        <w:spacing w:line="276" w:lineRule="auto"/>
        <w:ind w:left="546" w:leftChars="260" w:right="613" w:rightChars="292"/>
        <w:jc w:val="center"/>
        <w:rPr>
          <w:kern w:val="21"/>
          <w:sz w:val="24"/>
        </w:rPr>
      </w:pPr>
      <w:r>
        <w:rPr>
          <w:kern w:val="21"/>
          <w:szCs w:val="18"/>
        </w:rPr>
        <w:t>1</w:t>
      </w:r>
      <w:r>
        <w:rPr>
          <w:rFonts w:hint="eastAsia"/>
          <w:kern w:val="21"/>
          <w:szCs w:val="18"/>
        </w:rPr>
        <w:t>-</w:t>
      </w:r>
      <w:r>
        <w:rPr>
          <w:kern w:val="21"/>
          <w:szCs w:val="18"/>
        </w:rPr>
        <w:t>变频电机；2</w:t>
      </w:r>
      <w:r>
        <w:rPr>
          <w:rFonts w:hint="eastAsia"/>
          <w:kern w:val="21"/>
          <w:szCs w:val="18"/>
        </w:rPr>
        <w:t>-</w:t>
      </w:r>
      <w:r>
        <w:rPr>
          <w:kern w:val="21"/>
          <w:szCs w:val="18"/>
        </w:rPr>
        <w:t>曲柄盘；3</w:t>
      </w:r>
      <w:r>
        <w:rPr>
          <w:rFonts w:hint="eastAsia"/>
          <w:kern w:val="21"/>
          <w:szCs w:val="18"/>
        </w:rPr>
        <w:t>-</w:t>
      </w:r>
      <w:r>
        <w:rPr>
          <w:kern w:val="21"/>
          <w:szCs w:val="18"/>
        </w:rPr>
        <w:t>曲柄连杆；4</w:t>
      </w:r>
      <w:r>
        <w:rPr>
          <w:rFonts w:hint="eastAsia"/>
          <w:kern w:val="21"/>
          <w:szCs w:val="18"/>
        </w:rPr>
        <w:t>-</w:t>
      </w:r>
      <w:r>
        <w:rPr>
          <w:kern w:val="21"/>
          <w:szCs w:val="18"/>
        </w:rPr>
        <w:t>滑座；5</w:t>
      </w:r>
      <w:r>
        <w:rPr>
          <w:rFonts w:hint="eastAsia"/>
          <w:kern w:val="21"/>
          <w:szCs w:val="18"/>
        </w:rPr>
        <w:t>-</w:t>
      </w:r>
      <w:r>
        <w:rPr>
          <w:kern w:val="21"/>
          <w:szCs w:val="18"/>
        </w:rPr>
        <w:t>上试样；6</w:t>
      </w:r>
      <w:r>
        <w:rPr>
          <w:rFonts w:hint="eastAsia"/>
          <w:kern w:val="21"/>
          <w:szCs w:val="18"/>
        </w:rPr>
        <w:t>-</w:t>
      </w:r>
      <w:r>
        <w:rPr>
          <w:kern w:val="21"/>
          <w:szCs w:val="18"/>
        </w:rPr>
        <w:t>配重砝码；7</w:t>
      </w:r>
      <w:r>
        <w:rPr>
          <w:rFonts w:hint="eastAsia"/>
          <w:kern w:val="21"/>
          <w:szCs w:val="18"/>
        </w:rPr>
        <w:t>-</w:t>
      </w:r>
      <w:r>
        <w:rPr>
          <w:kern w:val="21"/>
          <w:szCs w:val="18"/>
        </w:rPr>
        <w:t>摩擦力传感器；8</w:t>
      </w:r>
      <w:r>
        <w:rPr>
          <w:rFonts w:hint="eastAsia"/>
          <w:kern w:val="21"/>
          <w:szCs w:val="18"/>
        </w:rPr>
        <w:t>-</w:t>
      </w:r>
      <w:r>
        <w:rPr>
          <w:kern w:val="21"/>
          <w:szCs w:val="18"/>
        </w:rPr>
        <w:t>计算机及电控制系统；9</w:t>
      </w:r>
      <w:r>
        <w:rPr>
          <w:rFonts w:hint="eastAsia"/>
          <w:kern w:val="21"/>
          <w:szCs w:val="18"/>
        </w:rPr>
        <w:t>-</w:t>
      </w:r>
      <w:r>
        <w:rPr>
          <w:kern w:val="21"/>
          <w:szCs w:val="18"/>
        </w:rPr>
        <w:t>转速计</w:t>
      </w:r>
    </w:p>
    <w:p w14:paraId="702294A7">
      <w:pPr>
        <w:spacing w:before="156" w:beforeLines="50" w:line="360" w:lineRule="auto"/>
        <w:jc w:val="center"/>
      </w:pPr>
      <w:r>
        <w:drawing>
          <wp:inline distT="0" distB="0" distL="0" distR="0">
            <wp:extent cx="4679950" cy="1578610"/>
            <wp:effectExtent l="0" t="0" r="6350" b="2540"/>
            <wp:docPr id="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l="-3651" r="2307"/>
                    <a:stretch>
                      <a:fillRect/>
                    </a:stretch>
                  </pic:blipFill>
                  <pic:spPr>
                    <a:xfrm>
                      <a:off x="0" y="0"/>
                      <a:ext cx="4680000" cy="1578795"/>
                    </a:xfrm>
                    <a:prstGeom prst="rect">
                      <a:avLst/>
                    </a:prstGeom>
                    <a:noFill/>
                    <a:ln>
                      <a:noFill/>
                    </a:ln>
                  </pic:spPr>
                </pic:pic>
              </a:graphicData>
            </a:graphic>
          </wp:inline>
        </w:drawing>
      </w:r>
    </w:p>
    <w:p w14:paraId="79ADC21A">
      <w:pPr>
        <w:spacing w:line="360" w:lineRule="auto"/>
        <w:jc w:val="center"/>
        <w:rPr>
          <w:kern w:val="21"/>
        </w:rPr>
      </w:pPr>
      <w:r>
        <w:rPr>
          <w:kern w:val="21"/>
        </w:rPr>
        <w:t>图2 切向微动磨损试验机结构原理</w:t>
      </w:r>
    </w:p>
    <w:p w14:paraId="19FC4DF8">
      <w:pPr>
        <w:spacing w:line="276" w:lineRule="auto"/>
        <w:ind w:left="600" w:leftChars="286" w:right="669" w:rightChars="319"/>
        <w:jc w:val="center"/>
        <w:rPr>
          <w:kern w:val="21"/>
        </w:rPr>
      </w:pPr>
      <w:r>
        <w:rPr>
          <w:kern w:val="21"/>
        </w:rPr>
        <w:t>1</w:t>
      </w:r>
      <w:r>
        <w:rPr>
          <w:rFonts w:hint="eastAsia"/>
          <w:kern w:val="21"/>
        </w:rPr>
        <w:t>-</w:t>
      </w:r>
      <w:r>
        <w:rPr>
          <w:kern w:val="21"/>
        </w:rPr>
        <w:t>基座；2</w:t>
      </w:r>
      <w:r>
        <w:rPr>
          <w:rFonts w:hint="eastAsia"/>
          <w:kern w:val="21"/>
        </w:rPr>
        <w:t>-</w:t>
      </w:r>
      <w:r>
        <w:rPr>
          <w:kern w:val="21"/>
        </w:rPr>
        <w:t>微位移驱动电机；3</w:t>
      </w:r>
      <w:r>
        <w:rPr>
          <w:rFonts w:hint="eastAsia"/>
          <w:kern w:val="21"/>
        </w:rPr>
        <w:t>-</w:t>
      </w:r>
      <w:r>
        <w:rPr>
          <w:kern w:val="21"/>
        </w:rPr>
        <w:t>摩擦力传感器；4</w:t>
      </w:r>
      <w:r>
        <w:rPr>
          <w:rFonts w:hint="eastAsia"/>
          <w:kern w:val="21"/>
        </w:rPr>
        <w:t>-</w:t>
      </w:r>
      <w:r>
        <w:rPr>
          <w:kern w:val="21"/>
        </w:rPr>
        <w:t>加载横梁；5</w:t>
      </w:r>
      <w:r>
        <w:rPr>
          <w:rFonts w:hint="eastAsia"/>
          <w:kern w:val="21"/>
        </w:rPr>
        <w:t>-</w:t>
      </w:r>
      <w:r>
        <w:rPr>
          <w:kern w:val="21"/>
        </w:rPr>
        <w:t>伺服加载电机；6</w:t>
      </w:r>
      <w:r>
        <w:rPr>
          <w:rFonts w:hint="eastAsia"/>
          <w:kern w:val="21"/>
        </w:rPr>
        <w:t>-</w:t>
      </w:r>
      <w:r>
        <w:rPr>
          <w:kern w:val="21"/>
        </w:rPr>
        <w:t>法向载荷传感器；7</w:t>
      </w:r>
      <w:r>
        <w:rPr>
          <w:rFonts w:hint="eastAsia"/>
          <w:kern w:val="21"/>
        </w:rPr>
        <w:t>-</w:t>
      </w:r>
      <w:r>
        <w:rPr>
          <w:kern w:val="21"/>
        </w:rPr>
        <w:t>球/块试样；8</w:t>
      </w:r>
      <w:r>
        <w:rPr>
          <w:rFonts w:hint="eastAsia"/>
          <w:kern w:val="21"/>
        </w:rPr>
        <w:t>-</w:t>
      </w:r>
      <w:r>
        <w:rPr>
          <w:kern w:val="21"/>
        </w:rPr>
        <w:t>直线滑台；9</w:t>
      </w:r>
      <w:r>
        <w:rPr>
          <w:rFonts w:hint="eastAsia"/>
          <w:kern w:val="21"/>
        </w:rPr>
        <w:t>-</w:t>
      </w:r>
      <w:r>
        <w:rPr>
          <w:kern w:val="21"/>
        </w:rPr>
        <w:t>光栅位移传感器</w:t>
      </w:r>
    </w:p>
    <w:p w14:paraId="2B235587">
      <w:pPr>
        <w:spacing w:line="360" w:lineRule="auto"/>
        <w:ind w:firstLine="480" w:firstLineChars="200"/>
        <w:rPr>
          <w:sz w:val="24"/>
          <w:szCs w:val="24"/>
        </w:rPr>
      </w:pPr>
      <w:r>
        <w:rPr>
          <w:rFonts w:hint="eastAsia"/>
          <w:sz w:val="24"/>
          <w:szCs w:val="24"/>
        </w:rPr>
        <w:t>摩擦磨损</w:t>
      </w:r>
      <w:r>
        <w:rPr>
          <w:sz w:val="24"/>
          <w:szCs w:val="24"/>
        </w:rPr>
        <w:t>试验机作为一种对材料及润滑剂在给定条件下进行摩擦与磨损性能试验的仪器，其功能的稳定性和测量精度直接影响着实验研究结果的准确性和可信度。目前，开展研究常用的试验机结构形式各异，系统</w:t>
      </w:r>
      <w:r>
        <w:rPr>
          <w:rFonts w:hint="eastAsia"/>
          <w:sz w:val="24"/>
          <w:szCs w:val="24"/>
        </w:rPr>
        <w:t>切向</w:t>
      </w:r>
      <w:r>
        <w:rPr>
          <w:sz w:val="24"/>
          <w:szCs w:val="24"/>
        </w:rPr>
        <w:t>刚度</w:t>
      </w:r>
      <w:r>
        <w:rPr>
          <w:rFonts w:hint="eastAsia"/>
          <w:sz w:val="24"/>
          <w:szCs w:val="24"/>
        </w:rPr>
        <w:t>的影响往往</w:t>
      </w:r>
      <w:r>
        <w:rPr>
          <w:sz w:val="24"/>
          <w:szCs w:val="24"/>
        </w:rPr>
        <w:t>被忽略</w:t>
      </w:r>
      <w:r>
        <w:rPr>
          <w:rFonts w:hint="eastAsia"/>
          <w:sz w:val="24"/>
          <w:szCs w:val="24"/>
        </w:rPr>
        <w:t>。</w:t>
      </w:r>
      <w:r>
        <w:rPr>
          <w:sz w:val="24"/>
          <w:szCs w:val="24"/>
        </w:rPr>
        <w:t>以至于不同型号、甚至同种型号试验机在不同使用阶段的系统刚度均存在较大差异性，这也是不同试验机得到的实验结果缺乏可比性的主要原因。</w:t>
      </w:r>
      <w:r>
        <w:rPr>
          <w:rFonts w:hint="eastAsia"/>
          <w:sz w:val="24"/>
          <w:szCs w:val="24"/>
        </w:rPr>
        <w:t>尤其，对于微动磨损这一特殊的摩擦磨损形式（图2所示），其位移幅值通常为</w:t>
      </w:r>
      <w:r>
        <w:rPr>
          <w:sz w:val="24"/>
          <w:szCs w:val="24"/>
        </w:rPr>
        <w:t>μ</w:t>
      </w:r>
      <w:r>
        <w:rPr>
          <w:rFonts w:hint="eastAsia"/>
          <w:sz w:val="24"/>
          <w:szCs w:val="24"/>
        </w:rPr>
        <w:t>m量级，此量级与试验机结构刚度不足产生的形变量相当</w:t>
      </w:r>
      <w:r>
        <w:rPr>
          <w:sz w:val="24"/>
          <w:szCs w:val="24"/>
        </w:rPr>
        <w:t>，其直接影响了微动的动力学响应与运行区域</w:t>
      </w:r>
      <w:r>
        <w:rPr>
          <w:rFonts w:hint="eastAsia"/>
          <w:sz w:val="24"/>
          <w:szCs w:val="24"/>
        </w:rPr>
        <w:t>特性。</w:t>
      </w:r>
      <w:r>
        <w:rPr>
          <w:sz w:val="24"/>
          <w:szCs w:val="24"/>
        </w:rPr>
        <w:t>因此，要精准测试材料的摩擦、磨损及</w:t>
      </w:r>
      <w:r>
        <w:rPr>
          <w:rFonts w:hint="eastAsia"/>
          <w:sz w:val="24"/>
          <w:szCs w:val="24"/>
        </w:rPr>
        <w:t>损伤机理</w:t>
      </w:r>
      <w:r>
        <w:rPr>
          <w:sz w:val="24"/>
          <w:szCs w:val="24"/>
        </w:rPr>
        <w:t>等特性，必须对试验机的</w:t>
      </w:r>
      <w:r>
        <w:rPr>
          <w:rFonts w:hint="eastAsia"/>
          <w:sz w:val="24"/>
          <w:szCs w:val="24"/>
        </w:rPr>
        <w:t>系统切向</w:t>
      </w:r>
      <w:r>
        <w:rPr>
          <w:sz w:val="24"/>
          <w:szCs w:val="24"/>
        </w:rPr>
        <w:t>刚度进行计量测试和校准统一。</w:t>
      </w:r>
    </w:p>
    <w:p w14:paraId="22B2C25F">
      <w:pPr>
        <w:spacing w:line="360" w:lineRule="auto"/>
        <w:ind w:firstLine="480" w:firstLineChars="200"/>
        <w:rPr>
          <w:sz w:val="24"/>
          <w:szCs w:val="24"/>
        </w:rPr>
      </w:pPr>
      <w:r>
        <w:rPr>
          <w:sz w:val="24"/>
          <w:szCs w:val="24"/>
        </w:rPr>
        <w:t>图</w:t>
      </w:r>
      <w:r>
        <w:rPr>
          <w:rFonts w:hint="eastAsia"/>
          <w:sz w:val="24"/>
          <w:szCs w:val="24"/>
        </w:rPr>
        <w:t>3</w:t>
      </w:r>
      <w:r>
        <w:rPr>
          <w:sz w:val="24"/>
          <w:szCs w:val="24"/>
        </w:rPr>
        <w:t>所示，当</w:t>
      </w:r>
      <w:r>
        <w:rPr>
          <w:rFonts w:hint="eastAsia"/>
          <w:sz w:val="24"/>
          <w:szCs w:val="24"/>
        </w:rPr>
        <w:t>试验机</w:t>
      </w:r>
      <w:r>
        <w:rPr>
          <w:sz w:val="24"/>
          <w:szCs w:val="24"/>
        </w:rPr>
        <w:t>法向载荷加载机构</w:t>
      </w:r>
      <w:r>
        <w:rPr>
          <w:rFonts w:hint="eastAsia"/>
          <w:sz w:val="24"/>
          <w:szCs w:val="24"/>
        </w:rPr>
        <w:t>受</w:t>
      </w:r>
      <w:r>
        <w:rPr>
          <w:sz w:val="24"/>
          <w:szCs w:val="24"/>
        </w:rPr>
        <w:t>到切向力</w:t>
      </w:r>
      <w:r>
        <w:rPr>
          <w:i/>
          <w:iCs/>
          <w:sz w:val="24"/>
          <w:szCs w:val="24"/>
        </w:rPr>
        <w:t>F</w:t>
      </w:r>
      <w:r>
        <w:rPr>
          <w:sz w:val="24"/>
          <w:szCs w:val="24"/>
          <w:vertAlign w:val="subscript"/>
        </w:rPr>
        <w:t>t</w:t>
      </w:r>
      <w:r>
        <w:rPr>
          <w:sz w:val="24"/>
          <w:szCs w:val="24"/>
        </w:rPr>
        <w:t>时，受结构与材料性质的影响，导致在试验机运行过程中，摩擦配副间的相对位移会产生一定的损失，从而导致试验结果的失真</w:t>
      </w:r>
      <w:r>
        <w:rPr>
          <w:rFonts w:hint="eastAsia"/>
          <w:sz w:val="24"/>
          <w:szCs w:val="24"/>
        </w:rPr>
        <w:t>。</w:t>
      </w:r>
      <w:r>
        <w:rPr>
          <w:sz w:val="24"/>
          <w:szCs w:val="24"/>
        </w:rPr>
        <w:t>系统切向刚度由待测试验机法向载荷加载机构所受到的切向推力</w:t>
      </w:r>
      <w:r>
        <w:rPr>
          <w:i/>
          <w:iCs/>
          <w:sz w:val="24"/>
          <w:szCs w:val="24"/>
        </w:rPr>
        <w:t>F</w:t>
      </w:r>
      <w:r>
        <w:rPr>
          <w:sz w:val="24"/>
          <w:szCs w:val="24"/>
          <w:vertAlign w:val="subscript"/>
        </w:rPr>
        <w:t>t</w:t>
      </w:r>
      <w:r>
        <w:rPr>
          <w:sz w:val="24"/>
          <w:szCs w:val="24"/>
        </w:rPr>
        <w:t>与产生的相对位移</w:t>
      </w:r>
      <w:r>
        <w:rPr>
          <w:rFonts w:ascii="Cambria Math" w:hAnsi="Cambria Math" w:cs="Cambria Math"/>
          <w:sz w:val="24"/>
          <w:szCs w:val="24"/>
        </w:rPr>
        <w:t>△</w:t>
      </w:r>
      <w:r>
        <w:rPr>
          <w:i/>
          <w:iCs/>
          <w:sz w:val="24"/>
          <w:szCs w:val="24"/>
        </w:rPr>
        <w:t>d</w:t>
      </w:r>
      <w:r>
        <w:rPr>
          <w:sz w:val="24"/>
          <w:szCs w:val="24"/>
        </w:rPr>
        <w:t>共同决定，其数学模型</w:t>
      </w:r>
      <w:r>
        <w:rPr>
          <w:rFonts w:hint="eastAsia"/>
          <w:sz w:val="24"/>
          <w:szCs w:val="24"/>
        </w:rPr>
        <w:t>可</w:t>
      </w:r>
      <w:r>
        <w:rPr>
          <w:sz w:val="24"/>
          <w:szCs w:val="24"/>
        </w:rPr>
        <w:t>用式（</w:t>
      </w:r>
      <w:r>
        <w:rPr>
          <w:rFonts w:hint="eastAsia"/>
          <w:sz w:val="24"/>
          <w:szCs w:val="24"/>
        </w:rPr>
        <w:t>1</w:t>
      </w:r>
      <w:r>
        <w:rPr>
          <w:sz w:val="24"/>
          <w:szCs w:val="24"/>
        </w:rPr>
        <w:t>）表示，系统切向刚度的函数模型如图</w:t>
      </w:r>
      <w:r>
        <w:rPr>
          <w:rFonts w:hint="eastAsia"/>
          <w:sz w:val="24"/>
          <w:szCs w:val="24"/>
        </w:rPr>
        <w:t>4</w:t>
      </w:r>
      <w:r>
        <w:rPr>
          <w:sz w:val="24"/>
          <w:szCs w:val="24"/>
        </w:rPr>
        <w:t>所示。</w:t>
      </w:r>
    </w:p>
    <w:p w14:paraId="3ED78539">
      <w:pPr>
        <w:tabs>
          <w:tab w:val="center" w:pos="4150"/>
          <w:tab w:val="right" w:pos="10103"/>
        </w:tabs>
        <w:snapToGrid w:val="0"/>
        <w:spacing w:before="156" w:beforeLines="50" w:line="360" w:lineRule="auto"/>
        <w:ind w:firstLine="480" w:firstLineChars="200"/>
        <w:rPr>
          <w:sz w:val="24"/>
          <w:szCs w:val="24"/>
        </w:rPr>
      </w:pPr>
      <w:r>
        <w:rPr>
          <w:i/>
          <w:iCs/>
          <w:sz w:val="24"/>
          <w:szCs w:val="24"/>
        </w:rPr>
        <w:tab/>
      </w:r>
      <w:r>
        <w:rPr>
          <w:i/>
          <w:iCs/>
          <w:sz w:val="24"/>
          <w:szCs w:val="24"/>
        </w:rPr>
        <w:t>F</w:t>
      </w:r>
      <w:r>
        <w:rPr>
          <w:sz w:val="24"/>
          <w:szCs w:val="24"/>
          <w:vertAlign w:val="subscript"/>
        </w:rPr>
        <w:t>t</w:t>
      </w:r>
      <w:r>
        <w:rPr>
          <w:i/>
          <w:iCs/>
          <w:sz w:val="24"/>
          <w:szCs w:val="24"/>
        </w:rPr>
        <w:t>=K</w:t>
      </w:r>
      <w:r>
        <w:rPr>
          <w:rFonts w:ascii="Cambria Math" w:hAnsi="Cambria Math" w:cs="Cambria Math"/>
          <w:sz w:val="24"/>
          <w:szCs w:val="24"/>
        </w:rPr>
        <w:t>△</w:t>
      </w:r>
      <w:r>
        <w:rPr>
          <w:i/>
          <w:iCs/>
          <w:sz w:val="24"/>
          <w:szCs w:val="24"/>
        </w:rPr>
        <w:t>d</w:t>
      </w:r>
      <w:r>
        <w:rPr>
          <w:i/>
          <w:iCs/>
          <w:sz w:val="24"/>
          <w:szCs w:val="24"/>
        </w:rPr>
        <w:tab/>
      </w:r>
      <w:r>
        <w:rPr>
          <w:sz w:val="24"/>
          <w:szCs w:val="24"/>
        </w:rPr>
        <w:t>（</w:t>
      </w:r>
      <w:r>
        <w:rPr>
          <w:rFonts w:hint="eastAsia"/>
          <w:sz w:val="24"/>
          <w:szCs w:val="24"/>
        </w:rPr>
        <w:t>1</w:t>
      </w:r>
      <w:r>
        <w:rPr>
          <w:sz w:val="24"/>
          <w:szCs w:val="24"/>
        </w:rPr>
        <w:t>）</w:t>
      </w:r>
    </w:p>
    <w:p w14:paraId="30CA8BA5">
      <w:pPr>
        <w:spacing w:line="360" w:lineRule="auto"/>
        <w:ind w:left="558" w:leftChars="266"/>
        <w:rPr>
          <w:rStyle w:val="23"/>
          <w:rFonts w:hint="eastAsia"/>
          <w:szCs w:val="20"/>
        </w:rPr>
      </w:pPr>
      <w:r>
        <w:rPr>
          <w:rStyle w:val="23"/>
          <w:szCs w:val="20"/>
        </w:rPr>
        <w:t>式中：</w:t>
      </w:r>
    </w:p>
    <w:p w14:paraId="655BF435">
      <w:pPr>
        <w:spacing w:line="360" w:lineRule="auto"/>
        <w:ind w:left="558" w:leftChars="266" w:firstLine="480" w:firstLineChars="200"/>
        <w:rPr>
          <w:rStyle w:val="23"/>
          <w:rFonts w:hint="eastAsia"/>
          <w:szCs w:val="20"/>
        </w:rPr>
      </w:pPr>
      <m:oMath>
        <m:r>
          <m:rPr/>
          <w:rPr>
            <w:rStyle w:val="23"/>
            <w:rFonts w:ascii="Cambria Math" w:hAnsi="Cambria Math"/>
            <w:szCs w:val="20"/>
          </w:rPr>
          <m:t>K</m:t>
        </m:r>
      </m:oMath>
      <w:r>
        <w:rPr>
          <w:rStyle w:val="23"/>
          <w:szCs w:val="20"/>
        </w:rPr>
        <w:t>—为系统切向刚度的测量值；</w:t>
      </w:r>
    </w:p>
    <w:p w14:paraId="13B48919">
      <w:pPr>
        <w:spacing w:line="360" w:lineRule="auto"/>
        <w:ind w:left="558" w:leftChars="266" w:firstLine="480" w:firstLineChars="200"/>
        <w:rPr>
          <w:rStyle w:val="23"/>
          <w:rFonts w:hint="eastAsia"/>
          <w:szCs w:val="20"/>
        </w:rPr>
      </w:pPr>
      <w:r>
        <w:rPr>
          <w:i/>
          <w:iCs/>
          <w:sz w:val="24"/>
          <w:szCs w:val="24"/>
        </w:rPr>
        <w:t>F</w:t>
      </w:r>
      <w:r>
        <w:rPr>
          <w:sz w:val="24"/>
          <w:szCs w:val="24"/>
          <w:vertAlign w:val="subscript"/>
        </w:rPr>
        <w:t>t</w:t>
      </w:r>
      <w:r>
        <w:rPr>
          <w:rStyle w:val="23"/>
          <w:szCs w:val="20"/>
        </w:rPr>
        <w:t>—</w:t>
      </w:r>
      <w:r>
        <w:rPr>
          <w:sz w:val="24"/>
          <w:szCs w:val="24"/>
        </w:rPr>
        <w:t>作用于试验机加载杆的加载力</w:t>
      </w:r>
      <w:r>
        <w:rPr>
          <w:rFonts w:hint="eastAsia"/>
          <w:sz w:val="24"/>
          <w:szCs w:val="24"/>
        </w:rPr>
        <w:t>（</w:t>
      </w:r>
      <w:r>
        <w:rPr>
          <w:sz w:val="24"/>
          <w:szCs w:val="24"/>
        </w:rPr>
        <w:t>直接测量量</w:t>
      </w:r>
      <w:r>
        <w:rPr>
          <w:rFonts w:hint="eastAsia"/>
          <w:sz w:val="24"/>
          <w:szCs w:val="24"/>
        </w:rPr>
        <w:t>）</w:t>
      </w:r>
      <w:r>
        <w:rPr>
          <w:sz w:val="24"/>
          <w:szCs w:val="24"/>
        </w:rPr>
        <w:t>；</w:t>
      </w:r>
    </w:p>
    <w:p w14:paraId="0FFC3085">
      <w:pPr>
        <w:spacing w:line="360" w:lineRule="auto"/>
        <w:ind w:left="558" w:leftChars="266" w:firstLine="480" w:firstLineChars="200"/>
        <w:rPr>
          <w:rStyle w:val="23"/>
          <w:rFonts w:hint="eastAsia"/>
          <w:szCs w:val="20"/>
        </w:rPr>
      </w:pPr>
      <m:oMath>
        <m:r>
          <m:rPr>
            <m:sty m:val="p"/>
          </m:rPr>
          <w:rPr>
            <w:rStyle w:val="23"/>
            <w:rFonts w:ascii="Cambria Math" w:hAnsi="Cambria Math"/>
            <w:szCs w:val="20"/>
          </w:rPr>
          <m:t>△</m:t>
        </m:r>
        <m:r>
          <m:rPr/>
          <w:rPr>
            <w:rStyle w:val="23"/>
            <w:rFonts w:ascii="Cambria Math" w:hAnsi="Cambria Math"/>
            <w:szCs w:val="20"/>
          </w:rPr>
          <m:t>d</m:t>
        </m:r>
      </m:oMath>
      <w:r>
        <w:rPr>
          <w:rStyle w:val="23"/>
          <w:szCs w:val="20"/>
        </w:rPr>
        <w:t>—被测试验机加载杆端部变形量</w:t>
      </w:r>
      <w:r>
        <w:rPr>
          <w:rStyle w:val="23"/>
          <w:rFonts w:hint="eastAsia"/>
          <w:szCs w:val="20"/>
        </w:rPr>
        <w:t>（</w:t>
      </w:r>
      <w:r>
        <w:rPr>
          <w:sz w:val="24"/>
          <w:szCs w:val="24"/>
        </w:rPr>
        <w:t>直接测量量</w:t>
      </w:r>
      <w:r>
        <w:rPr>
          <w:rStyle w:val="23"/>
          <w:rFonts w:hint="eastAsia"/>
          <w:szCs w:val="20"/>
        </w:rPr>
        <w:t>）</w:t>
      </w:r>
      <w:r>
        <w:rPr>
          <w:rStyle w:val="23"/>
          <w:szCs w:val="20"/>
        </w:rPr>
        <w:t>；</w:t>
      </w:r>
    </w:p>
    <w:p w14:paraId="6D1EC192">
      <w:pPr>
        <w:spacing w:line="276" w:lineRule="auto"/>
        <w:jc w:val="center"/>
      </w:pPr>
      <w:r>
        <w:rPr>
          <w:sz w:val="22"/>
          <w:szCs w:val="22"/>
        </w:rPr>
        <w:drawing>
          <wp:inline distT="0" distB="0" distL="0" distR="0">
            <wp:extent cx="5039995" cy="2030095"/>
            <wp:effectExtent l="0" t="0" r="0" b="8255"/>
            <wp:docPr id="12966677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66774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040000" cy="2030706"/>
                    </a:xfrm>
                    <a:prstGeom prst="rect">
                      <a:avLst/>
                    </a:prstGeom>
                    <a:noFill/>
                    <a:ln>
                      <a:noFill/>
                    </a:ln>
                    <a:effectLst/>
                  </pic:spPr>
                </pic:pic>
              </a:graphicData>
            </a:graphic>
          </wp:inline>
        </w:drawing>
      </w:r>
    </w:p>
    <w:p w14:paraId="4FF4E8BC">
      <w:pPr>
        <w:spacing w:line="360" w:lineRule="auto"/>
        <w:jc w:val="center"/>
      </w:pPr>
      <w:r>
        <w:t>图3 往复滑动/微动磨损试验机结构形式及系统切向刚度的影响</w:t>
      </w:r>
    </w:p>
    <w:p w14:paraId="01916751">
      <w:pPr>
        <w:spacing w:before="156" w:beforeLines="50" w:line="300" w:lineRule="auto"/>
        <w:jc w:val="center"/>
        <w:rPr>
          <w:sz w:val="24"/>
          <w:szCs w:val="24"/>
        </w:rPr>
      </w:pPr>
      <w:r>
        <w:rPr>
          <w:rFonts w:hint="eastAsia"/>
          <w:sz w:val="24"/>
          <w:szCs w:val="24"/>
        </w:rPr>
        <w:t xml:space="preserve">                                                                                                                                                                                                                                       </w:t>
      </w:r>
      <w:r>
        <w:rPr>
          <w:sz w:val="24"/>
          <w:szCs w:val="24"/>
        </w:rPr>
        <w:drawing>
          <wp:inline distT="0" distB="0" distL="0" distR="0">
            <wp:extent cx="3239770" cy="1520825"/>
            <wp:effectExtent l="0" t="0" r="0" b="3175"/>
            <wp:docPr id="10665025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50257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b="5307"/>
                    <a:stretch>
                      <a:fillRect/>
                    </a:stretch>
                  </pic:blipFill>
                  <pic:spPr>
                    <a:xfrm>
                      <a:off x="0" y="0"/>
                      <a:ext cx="3240000" cy="1521006"/>
                    </a:xfrm>
                    <a:prstGeom prst="rect">
                      <a:avLst/>
                    </a:prstGeom>
                    <a:noFill/>
                    <a:ln>
                      <a:noFill/>
                    </a:ln>
                  </pic:spPr>
                </pic:pic>
              </a:graphicData>
            </a:graphic>
          </wp:inline>
        </w:drawing>
      </w:r>
    </w:p>
    <w:p w14:paraId="0F22B89F">
      <w:pPr>
        <w:jc w:val="center"/>
      </w:pPr>
      <w:r>
        <w:t>图4系统切向刚度的测量及表示</w:t>
      </w:r>
    </w:p>
    <w:p w14:paraId="421169E1">
      <w:pPr>
        <w:pStyle w:val="2"/>
        <w:spacing w:before="312" w:beforeLines="100" w:line="360" w:lineRule="auto"/>
        <w:ind w:firstLine="0" w:firstLineChars="0"/>
        <w:rPr>
          <w:b/>
          <w:bCs/>
          <w:sz w:val="24"/>
          <w:szCs w:val="24"/>
        </w:rPr>
      </w:pPr>
      <w:bookmarkStart w:id="21" w:name="_Toc150304310"/>
      <w:bookmarkStart w:id="22" w:name="_Toc197985347"/>
      <w:r>
        <w:rPr>
          <w:b/>
          <w:bCs/>
          <w:sz w:val="24"/>
          <w:szCs w:val="24"/>
        </w:rPr>
        <w:t>5  计量特性</w:t>
      </w:r>
      <w:bookmarkEnd w:id="21"/>
      <w:bookmarkEnd w:id="22"/>
    </w:p>
    <w:p w14:paraId="3117A678">
      <w:pPr>
        <w:snapToGrid w:val="0"/>
        <w:spacing w:line="360" w:lineRule="auto"/>
        <w:ind w:firstLine="480" w:firstLineChars="200"/>
        <w:rPr>
          <w:sz w:val="24"/>
        </w:rPr>
      </w:pPr>
      <w:r>
        <w:rPr>
          <w:sz w:val="24"/>
          <w:szCs w:val="24"/>
        </w:rPr>
        <w:t>摩擦磨损试验机系统切向刚度计量特性</w:t>
      </w:r>
      <w:r>
        <w:rPr>
          <w:sz w:val="24"/>
        </w:rPr>
        <w:t>见表</w:t>
      </w:r>
      <w:r>
        <w:rPr>
          <w:rFonts w:hint="eastAsia"/>
          <w:sz w:val="24"/>
        </w:rPr>
        <w:t>1</w:t>
      </w:r>
      <w:r>
        <w:rPr>
          <w:sz w:val="24"/>
        </w:rPr>
        <w:t>。</w:t>
      </w:r>
    </w:p>
    <w:p w14:paraId="735A193D">
      <w:pPr>
        <w:snapToGrid w:val="0"/>
        <w:spacing w:line="360" w:lineRule="auto"/>
        <w:jc w:val="center"/>
        <w:rPr>
          <w:b/>
          <w:bCs/>
          <w:kern w:val="21"/>
          <w:sz w:val="18"/>
          <w:szCs w:val="15"/>
        </w:rPr>
      </w:pPr>
      <w:r>
        <w:rPr>
          <w:b/>
          <w:bCs/>
          <w:szCs w:val="18"/>
        </w:rPr>
        <w:t>表</w:t>
      </w:r>
      <w:r>
        <w:rPr>
          <w:rFonts w:hint="eastAsia"/>
          <w:b/>
          <w:bCs/>
          <w:szCs w:val="18"/>
        </w:rPr>
        <w:t>1</w:t>
      </w:r>
      <w:r>
        <w:rPr>
          <w:b/>
          <w:bCs/>
          <w:szCs w:val="18"/>
        </w:rPr>
        <w:t xml:space="preserve"> 摩擦磨损试验机系统切向刚度计量特性</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524"/>
      </w:tblGrid>
      <w:tr w14:paraId="75A7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vAlign w:val="center"/>
          </w:tcPr>
          <w:p w14:paraId="792C110B">
            <w:pPr>
              <w:snapToGrid w:val="0"/>
              <w:jc w:val="center"/>
            </w:pPr>
            <w:r>
              <w:t>计量特性</w:t>
            </w:r>
          </w:p>
        </w:tc>
        <w:tc>
          <w:tcPr>
            <w:tcW w:w="5524" w:type="dxa"/>
            <w:vAlign w:val="center"/>
          </w:tcPr>
          <w:p w14:paraId="2A96C8EF">
            <w:pPr>
              <w:snapToGrid w:val="0"/>
              <w:jc w:val="center"/>
            </w:pPr>
            <w:r>
              <w:t>性能指标</w:t>
            </w:r>
          </w:p>
        </w:tc>
      </w:tr>
      <w:tr w14:paraId="38D5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551" w:type="dxa"/>
            <w:vAlign w:val="center"/>
          </w:tcPr>
          <w:p w14:paraId="0FDE1BC0">
            <w:pPr>
              <w:snapToGrid w:val="0"/>
              <w:jc w:val="center"/>
            </w:pPr>
            <w:r>
              <w:t>系统切向刚度</w:t>
            </w:r>
          </w:p>
        </w:tc>
        <w:tc>
          <w:tcPr>
            <w:tcW w:w="5524" w:type="dxa"/>
            <w:vAlign w:val="center"/>
          </w:tcPr>
          <w:p w14:paraId="56DB5EEE">
            <w:pPr>
              <w:snapToGrid w:val="0"/>
              <w:jc w:val="center"/>
            </w:pPr>
            <w:r>
              <w:t>≥</w:t>
            </w:r>
            <w:r>
              <w:rPr>
                <w:rFonts w:hint="eastAsia"/>
              </w:rPr>
              <w:t xml:space="preserve"> </w:t>
            </w:r>
            <w:r>
              <w:t>0.61</w:t>
            </w:r>
            <w:r>
              <w:rPr>
                <w:rFonts w:hint="eastAsia"/>
              </w:rPr>
              <w:t>×10</w:t>
            </w:r>
            <w:r>
              <w:rPr>
                <w:rFonts w:hint="eastAsia"/>
                <w:vertAlign w:val="superscript"/>
              </w:rPr>
              <w:t>6</w:t>
            </w:r>
            <w:r>
              <w:rPr>
                <w:rFonts w:hint="eastAsia"/>
              </w:rPr>
              <w:t>（</w:t>
            </w:r>
            <w:r>
              <w:t>N</w:t>
            </w:r>
            <w:r>
              <w:rPr>
                <w:rFonts w:hint="eastAsia"/>
              </w:rPr>
              <w:t xml:space="preserve"> </w:t>
            </w:r>
            <w:r>
              <w:t>/ m</w:t>
            </w:r>
            <w:r>
              <w:rPr>
                <w:rFonts w:hint="eastAsia"/>
              </w:rPr>
              <w:t>）</w:t>
            </w:r>
          </w:p>
        </w:tc>
      </w:tr>
      <w:tr w14:paraId="0A4D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075" w:type="dxa"/>
            <w:gridSpan w:val="2"/>
            <w:vAlign w:val="center"/>
          </w:tcPr>
          <w:p w14:paraId="360C20A4">
            <w:pPr>
              <w:snapToGrid w:val="0"/>
              <w:jc w:val="center"/>
            </w:pPr>
            <w:r>
              <w:t>注：由于校准工作只给出测量结果，不判断合格与否，上述计量特性仅供参考。</w:t>
            </w:r>
          </w:p>
        </w:tc>
      </w:tr>
    </w:tbl>
    <w:p w14:paraId="300884EE">
      <w:pPr>
        <w:pStyle w:val="2"/>
        <w:spacing w:before="312" w:beforeLines="100" w:line="360" w:lineRule="auto"/>
        <w:ind w:firstLine="0" w:firstLineChars="0"/>
        <w:rPr>
          <w:b/>
          <w:bCs/>
          <w:sz w:val="24"/>
          <w:szCs w:val="24"/>
        </w:rPr>
      </w:pPr>
      <w:bookmarkStart w:id="23" w:name="_Toc150304314"/>
      <w:bookmarkStart w:id="24" w:name="_Toc197985348"/>
      <w:r>
        <w:rPr>
          <w:b/>
          <w:bCs/>
          <w:sz w:val="24"/>
          <w:szCs w:val="24"/>
        </w:rPr>
        <w:t>6  校准条件</w:t>
      </w:r>
      <w:bookmarkEnd w:id="23"/>
      <w:bookmarkEnd w:id="24"/>
    </w:p>
    <w:p w14:paraId="51E07B39">
      <w:pPr>
        <w:pStyle w:val="3"/>
        <w:spacing w:line="360" w:lineRule="auto"/>
        <w:jc w:val="both"/>
        <w:rPr>
          <w:rFonts w:eastAsia="仿宋"/>
          <w:sz w:val="24"/>
          <w:szCs w:val="24"/>
        </w:rPr>
      </w:pPr>
      <w:bookmarkStart w:id="25" w:name="_Toc150304315"/>
      <w:bookmarkStart w:id="26" w:name="_Toc197985349"/>
      <w:r>
        <w:rPr>
          <w:rFonts w:eastAsia="仿宋"/>
          <w:sz w:val="24"/>
          <w:szCs w:val="24"/>
        </w:rPr>
        <w:t>6.1 环境条件</w:t>
      </w:r>
      <w:bookmarkEnd w:id="25"/>
      <w:bookmarkEnd w:id="26"/>
    </w:p>
    <w:p w14:paraId="2BE41C6D">
      <w:pPr>
        <w:spacing w:line="360" w:lineRule="auto"/>
        <w:ind w:firstLine="424" w:firstLineChars="177"/>
        <w:rPr>
          <w:sz w:val="24"/>
          <w:szCs w:val="24"/>
        </w:rPr>
      </w:pPr>
      <w:r>
        <w:rPr>
          <w:rFonts w:hint="eastAsia"/>
          <w:sz w:val="24"/>
          <w:szCs w:val="24"/>
        </w:rPr>
        <w:t>6.1.1</w:t>
      </w:r>
      <w:r>
        <w:rPr>
          <w:sz w:val="24"/>
          <w:szCs w:val="24"/>
        </w:rPr>
        <w:t>环境温度：23℃±3℃；</w:t>
      </w:r>
    </w:p>
    <w:p w14:paraId="6923542B">
      <w:pPr>
        <w:spacing w:line="360" w:lineRule="auto"/>
        <w:ind w:firstLine="424" w:firstLineChars="177"/>
        <w:rPr>
          <w:sz w:val="24"/>
          <w:szCs w:val="24"/>
        </w:rPr>
      </w:pPr>
      <w:r>
        <w:rPr>
          <w:rFonts w:hint="eastAsia"/>
          <w:sz w:val="24"/>
          <w:szCs w:val="24"/>
        </w:rPr>
        <w:t>6.1.2环境</w:t>
      </w:r>
      <w:r>
        <w:rPr>
          <w:sz w:val="24"/>
          <w:szCs w:val="24"/>
        </w:rPr>
        <w:t>湿度：60%±10% RH；</w:t>
      </w:r>
    </w:p>
    <w:p w14:paraId="0B60D5E8">
      <w:pPr>
        <w:spacing w:line="360" w:lineRule="auto"/>
        <w:ind w:firstLine="424" w:firstLineChars="177"/>
        <w:rPr>
          <w:sz w:val="24"/>
          <w:szCs w:val="24"/>
        </w:rPr>
      </w:pPr>
      <w:r>
        <w:rPr>
          <w:rFonts w:hint="eastAsia"/>
          <w:sz w:val="24"/>
          <w:szCs w:val="24"/>
        </w:rPr>
        <w:t>6.1.3</w:t>
      </w:r>
      <w:r>
        <w:rPr>
          <w:sz w:val="24"/>
          <w:szCs w:val="24"/>
        </w:rPr>
        <w:t>校准应在无污染、振动、噪声和电磁干扰等环境中进行；</w:t>
      </w:r>
    </w:p>
    <w:p w14:paraId="1CFAE86B">
      <w:pPr>
        <w:spacing w:line="360" w:lineRule="auto"/>
        <w:ind w:firstLine="424" w:firstLineChars="177"/>
        <w:rPr>
          <w:sz w:val="24"/>
          <w:szCs w:val="24"/>
        </w:rPr>
      </w:pPr>
      <w:r>
        <w:rPr>
          <w:rFonts w:hint="eastAsia"/>
          <w:sz w:val="24"/>
          <w:szCs w:val="24"/>
        </w:rPr>
        <w:t>6.1.4</w:t>
      </w:r>
      <w:r>
        <w:rPr>
          <w:sz w:val="24"/>
          <w:szCs w:val="24"/>
        </w:rPr>
        <w:t xml:space="preserve">试验机电源电压的波动范围应在额定电压的±5%以内； </w:t>
      </w:r>
    </w:p>
    <w:p w14:paraId="60B3211E">
      <w:pPr>
        <w:spacing w:line="360" w:lineRule="auto"/>
        <w:ind w:firstLine="424" w:firstLineChars="177"/>
        <w:rPr>
          <w:sz w:val="24"/>
          <w:szCs w:val="24"/>
        </w:rPr>
      </w:pPr>
      <w:r>
        <w:rPr>
          <w:rFonts w:hint="eastAsia"/>
          <w:sz w:val="24"/>
          <w:szCs w:val="24"/>
        </w:rPr>
        <w:t>6.1.5</w:t>
      </w:r>
      <w:r>
        <w:rPr>
          <w:sz w:val="24"/>
          <w:szCs w:val="24"/>
        </w:rPr>
        <w:t>试验机的安装水平度</w:t>
      </w:r>
      <w:r>
        <w:rPr>
          <w:rFonts w:hint="eastAsia"/>
          <w:sz w:val="24"/>
          <w:szCs w:val="24"/>
        </w:rPr>
        <w:t>应优于</w:t>
      </w:r>
      <w:r>
        <w:rPr>
          <w:sz w:val="24"/>
          <w:szCs w:val="24"/>
        </w:rPr>
        <w:t>0.2/1000。</w:t>
      </w:r>
    </w:p>
    <w:p w14:paraId="530A6A58">
      <w:pPr>
        <w:pStyle w:val="3"/>
        <w:spacing w:line="360" w:lineRule="auto"/>
        <w:jc w:val="both"/>
        <w:rPr>
          <w:rFonts w:eastAsia="仿宋"/>
          <w:sz w:val="24"/>
          <w:szCs w:val="24"/>
        </w:rPr>
      </w:pPr>
      <w:bookmarkStart w:id="27" w:name="_Toc150304316"/>
      <w:bookmarkStart w:id="28" w:name="_Toc197985350"/>
      <w:r>
        <w:rPr>
          <w:rFonts w:eastAsia="仿宋"/>
          <w:sz w:val="24"/>
          <w:szCs w:val="24"/>
        </w:rPr>
        <w:t>6.2 测量标准</w:t>
      </w:r>
      <w:bookmarkEnd w:id="27"/>
      <w:r>
        <w:rPr>
          <w:rFonts w:hint="eastAsia" w:eastAsia="仿宋"/>
          <w:sz w:val="24"/>
          <w:szCs w:val="24"/>
        </w:rPr>
        <w:t>仪器及其技术要求</w:t>
      </w:r>
      <w:bookmarkEnd w:id="28"/>
    </w:p>
    <w:p w14:paraId="519E81C4">
      <w:pPr>
        <w:spacing w:line="360" w:lineRule="auto"/>
        <w:ind w:firstLine="405" w:firstLineChars="169"/>
        <w:rPr>
          <w:sz w:val="24"/>
          <w:szCs w:val="24"/>
        </w:rPr>
      </w:pPr>
      <w:r>
        <w:rPr>
          <w:rFonts w:hint="eastAsia"/>
          <w:sz w:val="24"/>
          <w:szCs w:val="24"/>
        </w:rPr>
        <w:t>6.2.1</w:t>
      </w:r>
      <w:r>
        <w:rPr>
          <w:sz w:val="24"/>
          <w:szCs w:val="24"/>
        </w:rPr>
        <w:t>准确度等级为0.</w:t>
      </w:r>
      <w:r>
        <w:rPr>
          <w:rFonts w:hint="eastAsia"/>
          <w:sz w:val="24"/>
          <w:szCs w:val="24"/>
        </w:rPr>
        <w:t>01</w:t>
      </w:r>
      <w:r>
        <w:rPr>
          <w:sz w:val="24"/>
          <w:szCs w:val="24"/>
        </w:rPr>
        <w:t>级的标准测力仪及其配套的辅助装置；</w:t>
      </w:r>
    </w:p>
    <w:p w14:paraId="48E52733">
      <w:pPr>
        <w:spacing w:line="360" w:lineRule="auto"/>
        <w:ind w:firstLine="405" w:firstLineChars="169"/>
        <w:rPr>
          <w:strike/>
          <w:sz w:val="24"/>
          <w:szCs w:val="24"/>
        </w:rPr>
      </w:pPr>
      <w:r>
        <w:rPr>
          <w:rFonts w:hint="eastAsia"/>
          <w:sz w:val="24"/>
          <w:szCs w:val="24"/>
        </w:rPr>
        <w:t>6.2.2</w:t>
      </w:r>
      <w:r>
        <w:rPr>
          <w:sz w:val="24"/>
          <w:szCs w:val="24"/>
        </w:rPr>
        <w:t>测量不确定度为</w:t>
      </w:r>
      <w:r>
        <w:rPr>
          <w:rFonts w:hint="eastAsia"/>
          <w:sz w:val="24"/>
          <w:szCs w:val="24"/>
        </w:rPr>
        <w:t xml:space="preserve"> </w:t>
      </w:r>
      <w:r>
        <w:rPr>
          <w:sz w:val="24"/>
          <w:szCs w:val="24"/>
        </w:rPr>
        <w:t>±</w:t>
      </w:r>
      <w:r>
        <w:rPr>
          <w:rFonts w:hint="eastAsia"/>
          <w:sz w:val="24"/>
          <w:szCs w:val="24"/>
        </w:rPr>
        <w:t xml:space="preserve"> (</w:t>
      </w:r>
      <w:r>
        <w:rPr>
          <w:sz w:val="24"/>
          <w:szCs w:val="24"/>
        </w:rPr>
        <w:t>0.03+0.5L</w:t>
      </w:r>
      <w:r>
        <w:rPr>
          <w:rFonts w:hint="eastAsia"/>
          <w:sz w:val="24"/>
          <w:szCs w:val="24"/>
        </w:rPr>
        <w:t xml:space="preserve">) </w:t>
      </w:r>
      <w:r>
        <w:rPr>
          <w:sz w:val="24"/>
          <w:szCs w:val="24"/>
        </w:rPr>
        <w:t>μm的激光干涉仪</w:t>
      </w:r>
      <w:r>
        <w:rPr>
          <w:rFonts w:hint="eastAsia"/>
          <w:sz w:val="24"/>
          <w:szCs w:val="24"/>
        </w:rPr>
        <w:t>；</w:t>
      </w:r>
    </w:p>
    <w:p w14:paraId="1A1DB80E">
      <w:pPr>
        <w:spacing w:line="360" w:lineRule="auto"/>
        <w:ind w:left="990" w:leftChars="201" w:hanging="568" w:hangingChars="237"/>
        <w:rPr>
          <w:sz w:val="24"/>
          <w:szCs w:val="24"/>
        </w:rPr>
      </w:pPr>
      <w:r>
        <w:rPr>
          <w:rFonts w:hint="eastAsia"/>
          <w:sz w:val="24"/>
          <w:szCs w:val="24"/>
        </w:rPr>
        <w:t>6.2.3</w:t>
      </w:r>
      <w:r>
        <w:rPr>
          <w:sz w:val="24"/>
          <w:szCs w:val="24"/>
        </w:rPr>
        <w:t>试验机系统切向刚度计量校准装置，位移测量不确定</w:t>
      </w:r>
      <w:r>
        <w:rPr>
          <w:rFonts w:hint="eastAsia"/>
          <w:sz w:val="24"/>
          <w:szCs w:val="24"/>
        </w:rPr>
        <w:t>度为</w:t>
      </w:r>
      <w:r>
        <w:rPr>
          <w:sz w:val="24"/>
          <w:szCs w:val="24"/>
        </w:rPr>
        <w:t>±</w:t>
      </w:r>
      <w:r>
        <w:rPr>
          <w:rFonts w:hint="eastAsia"/>
          <w:sz w:val="24"/>
          <w:szCs w:val="24"/>
        </w:rPr>
        <w:t xml:space="preserve"> </w:t>
      </w:r>
      <w:r>
        <w:rPr>
          <w:sz w:val="24"/>
          <w:szCs w:val="24"/>
        </w:rPr>
        <w:t>1.</w:t>
      </w:r>
      <w:r>
        <w:rPr>
          <w:rFonts w:hint="eastAsia"/>
          <w:sz w:val="24"/>
          <w:szCs w:val="24"/>
        </w:rPr>
        <w:t>08</w:t>
      </w:r>
      <w:r>
        <w:rPr>
          <w:sz w:val="24"/>
          <w:szCs w:val="24"/>
        </w:rPr>
        <w:t>μm，加载力测量不确定度</w:t>
      </w:r>
      <w:r>
        <w:rPr>
          <w:rFonts w:hint="eastAsia"/>
          <w:sz w:val="24"/>
          <w:szCs w:val="24"/>
        </w:rPr>
        <w:t>为</w:t>
      </w:r>
      <w:r>
        <w:rPr>
          <w:sz w:val="24"/>
          <w:szCs w:val="24"/>
        </w:rPr>
        <w:t>±</w:t>
      </w:r>
      <w:r>
        <w:rPr>
          <w:rFonts w:hint="eastAsia"/>
          <w:sz w:val="24"/>
          <w:szCs w:val="24"/>
        </w:rPr>
        <w:t xml:space="preserve"> </w:t>
      </w:r>
      <w:r>
        <w:rPr>
          <w:sz w:val="24"/>
          <w:szCs w:val="24"/>
        </w:rPr>
        <w:t>0.82</w:t>
      </w:r>
      <w:r>
        <w:rPr>
          <w:rFonts w:hint="eastAsia"/>
          <w:sz w:val="24"/>
          <w:szCs w:val="24"/>
        </w:rPr>
        <w:t xml:space="preserve"> </w:t>
      </w:r>
      <w:r>
        <w:rPr>
          <w:sz w:val="24"/>
          <w:szCs w:val="24"/>
        </w:rPr>
        <w:t>N（不确定评定见附录A、B）</w:t>
      </w:r>
      <w:r>
        <w:rPr>
          <w:rFonts w:hint="eastAsia"/>
          <w:sz w:val="24"/>
          <w:szCs w:val="24"/>
        </w:rPr>
        <w:t>。</w:t>
      </w:r>
    </w:p>
    <w:p w14:paraId="012AB37A">
      <w:pPr>
        <w:pStyle w:val="2"/>
        <w:spacing w:before="312" w:beforeLines="100" w:line="360" w:lineRule="auto"/>
        <w:ind w:firstLine="0" w:firstLineChars="0"/>
        <w:rPr>
          <w:b/>
          <w:bCs/>
          <w:sz w:val="24"/>
          <w:szCs w:val="24"/>
        </w:rPr>
      </w:pPr>
      <w:bookmarkStart w:id="29" w:name="_Toc150304317"/>
      <w:bookmarkStart w:id="30" w:name="_Toc197985351"/>
      <w:r>
        <w:rPr>
          <w:b/>
          <w:bCs/>
          <w:sz w:val="24"/>
          <w:szCs w:val="24"/>
        </w:rPr>
        <w:t>7  校准项目和校准方法</w:t>
      </w:r>
      <w:bookmarkEnd w:id="29"/>
      <w:bookmarkEnd w:id="30"/>
    </w:p>
    <w:p w14:paraId="5E34003F">
      <w:pPr>
        <w:pStyle w:val="3"/>
        <w:spacing w:before="156" w:beforeLines="50" w:line="360" w:lineRule="auto"/>
        <w:jc w:val="both"/>
        <w:rPr>
          <w:rFonts w:eastAsia="仿宋"/>
          <w:sz w:val="24"/>
          <w:szCs w:val="24"/>
        </w:rPr>
      </w:pPr>
      <w:bookmarkStart w:id="31" w:name="_Toc197985352"/>
      <w:bookmarkStart w:id="32" w:name="_Toc150304318"/>
      <w:r>
        <w:rPr>
          <w:rFonts w:eastAsia="仿宋"/>
          <w:sz w:val="24"/>
          <w:szCs w:val="24"/>
        </w:rPr>
        <w:t>7.1 校准前的准备</w:t>
      </w:r>
      <w:bookmarkEnd w:id="31"/>
      <w:bookmarkEnd w:id="32"/>
    </w:p>
    <w:p w14:paraId="63B7C6B9">
      <w:pPr>
        <w:spacing w:line="360" w:lineRule="auto"/>
        <w:ind w:firstLine="424" w:firstLineChars="177"/>
        <w:rPr>
          <w:sz w:val="24"/>
          <w:szCs w:val="24"/>
        </w:rPr>
      </w:pPr>
      <w:r>
        <w:rPr>
          <w:rFonts w:hint="eastAsia"/>
          <w:sz w:val="24"/>
          <w:szCs w:val="24"/>
        </w:rPr>
        <w:t>7.1.1 检查仪器是否具有名称、型号、制造厂、出厂编号等标识，检査被校仪器周围环境，确保没有影响仪器计量性能的因素。</w:t>
      </w:r>
    </w:p>
    <w:p w14:paraId="63147D9B">
      <w:pPr>
        <w:spacing w:line="360" w:lineRule="auto"/>
        <w:ind w:firstLine="424" w:firstLineChars="177"/>
        <w:rPr>
          <w:sz w:val="24"/>
          <w:szCs w:val="24"/>
        </w:rPr>
      </w:pPr>
      <w:r>
        <w:rPr>
          <w:rFonts w:hint="eastAsia"/>
          <w:sz w:val="24"/>
          <w:szCs w:val="24"/>
        </w:rPr>
        <w:t>7.1.2 确保被校试验机处于正常的工作状态，且稳定固定于检测平台上，试验机各运动及数据采集功能正常；</w:t>
      </w:r>
    </w:p>
    <w:p w14:paraId="2B382123">
      <w:pPr>
        <w:spacing w:line="360" w:lineRule="auto"/>
        <w:ind w:firstLine="424" w:firstLineChars="177"/>
        <w:rPr>
          <w:sz w:val="24"/>
          <w:szCs w:val="24"/>
        </w:rPr>
      </w:pPr>
      <w:r>
        <w:rPr>
          <w:rFonts w:hint="eastAsia"/>
          <w:sz w:val="24"/>
          <w:szCs w:val="24"/>
        </w:rPr>
        <w:t>7.1.3 标准仪器和被校准试验机的温度平衡时间不少于0.5h。</w:t>
      </w:r>
    </w:p>
    <w:p w14:paraId="1F95563B">
      <w:pPr>
        <w:pStyle w:val="3"/>
        <w:spacing w:before="156" w:beforeLines="50" w:line="360" w:lineRule="auto"/>
        <w:jc w:val="both"/>
        <w:rPr>
          <w:rFonts w:eastAsia="仿宋"/>
          <w:sz w:val="24"/>
          <w:szCs w:val="24"/>
        </w:rPr>
      </w:pPr>
      <w:bookmarkStart w:id="33" w:name="_Toc197985353"/>
      <w:r>
        <w:rPr>
          <w:rFonts w:eastAsia="仿宋"/>
          <w:sz w:val="24"/>
          <w:szCs w:val="24"/>
        </w:rPr>
        <w:t>7.2 系统切向刚度（</w:t>
      </w:r>
      <w:r>
        <w:rPr>
          <w:rFonts w:eastAsia="仿宋"/>
          <w:i/>
          <w:iCs/>
          <w:sz w:val="24"/>
          <w:szCs w:val="24"/>
        </w:rPr>
        <w:t>K</w:t>
      </w:r>
      <w:r>
        <w:rPr>
          <w:rFonts w:eastAsia="仿宋"/>
          <w:sz w:val="24"/>
          <w:szCs w:val="24"/>
        </w:rPr>
        <w:t>）校准</w:t>
      </w:r>
      <w:bookmarkEnd w:id="33"/>
    </w:p>
    <w:p w14:paraId="3F19CEE7">
      <w:pPr>
        <w:spacing w:line="360" w:lineRule="auto"/>
        <w:ind w:firstLine="424" w:firstLineChars="177"/>
        <w:rPr>
          <w:sz w:val="24"/>
          <w:szCs w:val="24"/>
        </w:rPr>
      </w:pPr>
      <w:r>
        <w:rPr>
          <w:rFonts w:hint="eastAsia"/>
          <w:sz w:val="24"/>
          <w:szCs w:val="24"/>
        </w:rPr>
        <w:t>7.2.1</w:t>
      </w:r>
      <w:r>
        <w:rPr>
          <w:sz w:val="24"/>
          <w:szCs w:val="24"/>
        </w:rPr>
        <w:t>校准装置安装</w:t>
      </w:r>
      <w:r>
        <w:rPr>
          <w:rFonts w:hint="eastAsia"/>
          <w:sz w:val="24"/>
          <w:szCs w:val="24"/>
        </w:rPr>
        <w:t>固定</w:t>
      </w:r>
    </w:p>
    <w:p w14:paraId="5C2359F8">
      <w:pPr>
        <w:snapToGrid w:val="0"/>
        <w:spacing w:before="156" w:beforeLines="50" w:line="360" w:lineRule="auto"/>
        <w:ind w:firstLine="480" w:firstLineChars="200"/>
        <w:rPr>
          <w:sz w:val="24"/>
          <w:szCs w:val="24"/>
        </w:rPr>
      </w:pPr>
      <w:r>
        <w:rPr>
          <w:sz w:val="24"/>
          <w:szCs w:val="24"/>
        </w:rPr>
        <w:t>如图</w:t>
      </w:r>
      <w:r>
        <w:rPr>
          <w:rFonts w:hint="eastAsia"/>
          <w:sz w:val="24"/>
          <w:szCs w:val="24"/>
        </w:rPr>
        <w:t>5</w:t>
      </w:r>
      <w:r>
        <w:rPr>
          <w:sz w:val="24"/>
          <w:szCs w:val="24"/>
        </w:rPr>
        <w:t>所示，采用系统刚度专用校准装置对摩擦磨损试验机系统切向刚度进行测试校准。</w:t>
      </w:r>
      <w:bookmarkStart w:id="34" w:name="_Hlk155636573"/>
      <w:r>
        <w:rPr>
          <w:sz w:val="24"/>
          <w:szCs w:val="24"/>
        </w:rPr>
        <w:t>刚度校准装置所用力传感器、光谱共焦传感器均由中国测试技术研究院标定完成。校准装置由伺服电机驱动施加恒定推力，并通过力传感器对推力进行实时测量与反馈控制，集成在校准装置的光谱共焦传感器监测加载杆的变形量。测试前需将测试校准装置的加载杆与试验机法向加载端（上部试样）刚性连接，校准装置基座与试验机底座</w:t>
      </w:r>
      <w:r>
        <w:rPr>
          <w:rFonts w:hint="eastAsia"/>
          <w:sz w:val="24"/>
          <w:szCs w:val="24"/>
        </w:rPr>
        <w:t>均稳定固定在检测平台上</w:t>
      </w:r>
      <w:r>
        <w:rPr>
          <w:sz w:val="24"/>
          <w:szCs w:val="24"/>
        </w:rPr>
        <w:t>。</w:t>
      </w:r>
      <w:bookmarkEnd w:id="34"/>
    </w:p>
    <w:p w14:paraId="533F6811">
      <w:pPr>
        <w:snapToGrid w:val="0"/>
        <w:spacing w:line="360" w:lineRule="auto"/>
        <w:jc w:val="center"/>
        <w:rPr>
          <w:sz w:val="24"/>
          <w:szCs w:val="24"/>
        </w:rPr>
      </w:pPr>
      <w:r>
        <w:drawing>
          <wp:inline distT="0" distB="0" distL="114300" distR="114300">
            <wp:extent cx="5039995" cy="2294255"/>
            <wp:effectExtent l="0" t="0" r="8255" b="10795"/>
            <wp:docPr id="1692115053" name="图片 169211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115053" name="图片 1692115053"/>
                    <pic:cNvPicPr>
                      <a:picLocks noChangeAspect="1"/>
                    </pic:cNvPicPr>
                  </pic:nvPicPr>
                  <pic:blipFill>
                    <a:blip r:embed="rId21"/>
                    <a:stretch>
                      <a:fillRect/>
                    </a:stretch>
                  </pic:blipFill>
                  <pic:spPr>
                    <a:xfrm>
                      <a:off x="0" y="0"/>
                      <a:ext cx="5039995" cy="2294255"/>
                    </a:xfrm>
                    <a:prstGeom prst="rect">
                      <a:avLst/>
                    </a:prstGeom>
                    <a:noFill/>
                    <a:ln>
                      <a:noFill/>
                    </a:ln>
                  </pic:spPr>
                </pic:pic>
              </a:graphicData>
            </a:graphic>
          </wp:inline>
        </w:drawing>
      </w:r>
    </w:p>
    <w:p w14:paraId="4288405F">
      <w:pPr>
        <w:spacing w:line="276" w:lineRule="auto"/>
        <w:jc w:val="center"/>
        <w:rPr>
          <w:kern w:val="21"/>
          <w:szCs w:val="18"/>
        </w:rPr>
      </w:pPr>
      <w:r>
        <w:rPr>
          <w:kern w:val="21"/>
          <w:szCs w:val="18"/>
        </w:rPr>
        <w:t>图</w:t>
      </w:r>
      <w:r>
        <w:rPr>
          <w:rFonts w:hint="eastAsia"/>
          <w:kern w:val="21"/>
          <w:szCs w:val="18"/>
        </w:rPr>
        <w:t>5</w:t>
      </w:r>
      <w:r>
        <w:rPr>
          <w:kern w:val="21"/>
          <w:szCs w:val="18"/>
        </w:rPr>
        <w:t xml:space="preserve"> 摩擦试验机系统切向刚度校准装置</w:t>
      </w:r>
      <w:r>
        <w:rPr>
          <w:rFonts w:hint="eastAsia"/>
          <w:kern w:val="21"/>
          <w:szCs w:val="18"/>
        </w:rPr>
        <w:t>安装</w:t>
      </w:r>
      <w:r>
        <w:rPr>
          <w:kern w:val="21"/>
          <w:szCs w:val="18"/>
        </w:rPr>
        <w:t>示意图</w:t>
      </w:r>
    </w:p>
    <w:p w14:paraId="001A6172">
      <w:pPr>
        <w:spacing w:line="360" w:lineRule="auto"/>
        <w:ind w:firstLine="424" w:firstLineChars="177"/>
        <w:rPr>
          <w:sz w:val="24"/>
          <w:szCs w:val="24"/>
        </w:rPr>
      </w:pPr>
      <w:r>
        <w:rPr>
          <w:rFonts w:hint="eastAsia"/>
          <w:sz w:val="24"/>
          <w:szCs w:val="24"/>
        </w:rPr>
        <w:t xml:space="preserve">7.2.2 </w:t>
      </w:r>
      <w:r>
        <w:rPr>
          <w:sz w:val="24"/>
          <w:szCs w:val="24"/>
        </w:rPr>
        <w:t>参数设置</w:t>
      </w:r>
    </w:p>
    <w:p w14:paraId="0F18F93B">
      <w:pPr>
        <w:snapToGrid w:val="0"/>
        <w:spacing w:line="360" w:lineRule="auto"/>
        <w:ind w:firstLine="480" w:firstLineChars="200"/>
        <w:rPr>
          <w:sz w:val="24"/>
          <w:szCs w:val="24"/>
        </w:rPr>
      </w:pPr>
      <w:r>
        <w:rPr>
          <w:sz w:val="24"/>
          <w:szCs w:val="24"/>
        </w:rPr>
        <w:t>按校准装置力传感器满量程内的3个</w:t>
      </w:r>
      <w:r>
        <w:rPr>
          <w:sz w:val="24"/>
        </w:rPr>
        <w:t>点作为切向力</w:t>
      </w:r>
      <w:r>
        <w:rPr>
          <w:i/>
          <w:iCs/>
          <w:sz w:val="24"/>
          <w:szCs w:val="24"/>
        </w:rPr>
        <w:t>F</w:t>
      </w:r>
      <w:r>
        <w:rPr>
          <w:sz w:val="24"/>
          <w:szCs w:val="24"/>
          <w:vertAlign w:val="subscript"/>
        </w:rPr>
        <w:t>t</w:t>
      </w:r>
      <w:r>
        <w:rPr>
          <w:sz w:val="24"/>
        </w:rPr>
        <w:t xml:space="preserve">的加载值； </w:t>
      </w:r>
    </w:p>
    <w:p w14:paraId="4C1E035B">
      <w:pPr>
        <w:spacing w:line="360" w:lineRule="auto"/>
        <w:ind w:firstLine="424" w:firstLineChars="177"/>
        <w:rPr>
          <w:sz w:val="24"/>
          <w:szCs w:val="24"/>
        </w:rPr>
      </w:pPr>
      <w:r>
        <w:rPr>
          <w:rFonts w:hint="eastAsia"/>
          <w:sz w:val="24"/>
          <w:szCs w:val="24"/>
        </w:rPr>
        <w:t xml:space="preserve">7.2.3 </w:t>
      </w:r>
      <w:r>
        <w:rPr>
          <w:sz w:val="24"/>
          <w:szCs w:val="24"/>
        </w:rPr>
        <w:t>测试校准</w:t>
      </w:r>
    </w:p>
    <w:p w14:paraId="3673A7BC">
      <w:pPr>
        <w:snapToGrid w:val="0"/>
        <w:spacing w:line="360" w:lineRule="auto"/>
        <w:ind w:firstLine="480" w:firstLineChars="200"/>
        <w:rPr>
          <w:sz w:val="24"/>
        </w:rPr>
      </w:pPr>
      <w:r>
        <w:rPr>
          <w:sz w:val="24"/>
        </w:rPr>
        <w:t>按进程逐点增加切向推力</w:t>
      </w:r>
      <w:r>
        <w:rPr>
          <w:i/>
          <w:iCs/>
          <w:sz w:val="24"/>
          <w:szCs w:val="24"/>
        </w:rPr>
        <w:t>F</w:t>
      </w:r>
      <w:r>
        <w:rPr>
          <w:sz w:val="24"/>
          <w:szCs w:val="24"/>
          <w:vertAlign w:val="subscript"/>
        </w:rPr>
        <w:t>t</w:t>
      </w:r>
      <w:r>
        <w:rPr>
          <w:sz w:val="24"/>
        </w:rPr>
        <w:t>，依次开展第</w:t>
      </w:r>
      <w:r>
        <w:rPr>
          <w:i/>
          <w:iCs/>
          <w:sz w:val="24"/>
        </w:rPr>
        <w:t>i</w:t>
      </w:r>
      <w:r>
        <w:rPr>
          <w:sz w:val="24"/>
        </w:rPr>
        <w:t>次测试，并在测试过程中实时记录切向推力</w:t>
      </w:r>
      <w:r>
        <w:rPr>
          <w:i/>
          <w:iCs/>
          <w:sz w:val="24"/>
          <w:szCs w:val="24"/>
        </w:rPr>
        <w:t>F</w:t>
      </w:r>
      <w:r>
        <w:rPr>
          <w:rFonts w:hint="eastAsia"/>
          <w:sz w:val="24"/>
          <w:szCs w:val="24"/>
          <w:vertAlign w:val="subscript"/>
        </w:rPr>
        <w:t>t</w:t>
      </w:r>
      <w:r>
        <w:rPr>
          <w:sz w:val="24"/>
        </w:rPr>
        <w:t>；同时，</w:t>
      </w:r>
      <w:r>
        <w:rPr>
          <w:sz w:val="24"/>
          <w:szCs w:val="24"/>
        </w:rPr>
        <w:t>光谱共焦</w:t>
      </w:r>
      <w:r>
        <w:rPr>
          <w:sz w:val="24"/>
        </w:rPr>
        <w:t>传感器实时测量记录法向加载机构的总体变形量</w:t>
      </w:r>
      <w:r>
        <w:rPr>
          <w:rFonts w:ascii="Cambria Math" w:hAnsi="Cambria Math" w:cs="Cambria Math"/>
          <w:sz w:val="24"/>
        </w:rPr>
        <w:t>△</w:t>
      </w:r>
      <w:r>
        <w:rPr>
          <w:i/>
          <w:iCs/>
          <w:sz w:val="24"/>
        </w:rPr>
        <w:t>d</w:t>
      </w:r>
      <w:r>
        <w:rPr>
          <w:sz w:val="24"/>
        </w:rPr>
        <w:t>；</w:t>
      </w:r>
    </w:p>
    <w:p w14:paraId="0DF6B602">
      <w:pPr>
        <w:spacing w:line="360" w:lineRule="auto"/>
        <w:ind w:firstLine="424" w:firstLineChars="177"/>
        <w:rPr>
          <w:sz w:val="24"/>
          <w:szCs w:val="24"/>
        </w:rPr>
      </w:pPr>
      <w:r>
        <w:rPr>
          <w:rFonts w:hint="eastAsia"/>
          <w:sz w:val="24"/>
          <w:szCs w:val="24"/>
        </w:rPr>
        <w:t xml:space="preserve">7.2.4 </w:t>
      </w:r>
      <w:r>
        <w:rPr>
          <w:sz w:val="24"/>
          <w:szCs w:val="24"/>
        </w:rPr>
        <w:t>数据处理</w:t>
      </w:r>
    </w:p>
    <w:p w14:paraId="4CB134FB">
      <w:pPr>
        <w:snapToGrid w:val="0"/>
        <w:spacing w:line="360" w:lineRule="auto"/>
        <w:ind w:firstLine="480" w:firstLineChars="200"/>
        <w:rPr>
          <w:sz w:val="24"/>
        </w:rPr>
      </w:pPr>
      <w:r>
        <w:rPr>
          <w:sz w:val="24"/>
        </w:rPr>
        <w:t>依次得到第</w:t>
      </w:r>
      <w:r>
        <w:rPr>
          <w:i/>
          <w:iCs/>
          <w:sz w:val="24"/>
        </w:rPr>
        <w:t>i</w:t>
      </w:r>
      <w:r>
        <w:rPr>
          <w:sz w:val="24"/>
        </w:rPr>
        <w:t>次测试中的校准装置</w:t>
      </w:r>
      <w:r>
        <w:rPr>
          <w:rFonts w:hint="eastAsia"/>
          <w:sz w:val="24"/>
        </w:rPr>
        <w:t>切向推力</w:t>
      </w:r>
      <w:r>
        <w:rPr>
          <w:sz w:val="24"/>
        </w:rPr>
        <w:t>读数</w:t>
      </w:r>
      <m:oMath>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hint="eastAsia" w:ascii="Cambria Math" w:hAnsi="Cambria Math"/>
                <w:sz w:val="24"/>
              </w:rPr>
              <m:t>t</m:t>
            </m:r>
            <m:r>
              <m:rPr/>
              <w:rPr>
                <w:rFonts w:ascii="Cambria Math" w:hAnsi="Cambria Math"/>
                <w:sz w:val="24"/>
              </w:rPr>
              <m:t>i</m:t>
            </m:r>
            <m:ctrlPr>
              <w:rPr>
                <w:rFonts w:ascii="Cambria Math" w:hAnsi="Cambria Math"/>
                <w:i/>
                <w:sz w:val="24"/>
              </w:rPr>
            </m:ctrlPr>
          </m:sub>
        </m:sSub>
      </m:oMath>
      <w:r>
        <w:rPr>
          <w:sz w:val="24"/>
        </w:rPr>
        <w:t>和第</w:t>
      </w:r>
      <w:r>
        <w:rPr>
          <w:i/>
          <w:iCs/>
          <w:sz w:val="24"/>
        </w:rPr>
        <w:t>i</w:t>
      </w:r>
      <w:r>
        <w:rPr>
          <w:sz w:val="24"/>
        </w:rPr>
        <w:t>次测试中光谱共焦传感器实测</w:t>
      </w:r>
      <w:r>
        <w:rPr>
          <w:rFonts w:hint="eastAsia"/>
          <w:sz w:val="24"/>
        </w:rPr>
        <w:t>的结构</w:t>
      </w:r>
      <w:r>
        <w:rPr>
          <w:sz w:val="24"/>
        </w:rPr>
        <w:t>变形量</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oMath>
      <w:r>
        <w:rPr>
          <w:sz w:val="20"/>
          <w:szCs w:val="16"/>
        </w:rPr>
        <w:t>。</w:t>
      </w:r>
      <w:r>
        <w:rPr>
          <w:sz w:val="24"/>
        </w:rPr>
        <w:t>对不同法向载荷作用下的摩擦力和系统变形量进行线性拟合（图</w:t>
      </w:r>
      <w:r>
        <w:rPr>
          <w:rFonts w:hint="eastAsia"/>
          <w:sz w:val="24"/>
        </w:rPr>
        <w:t>4</w:t>
      </w:r>
      <w:r>
        <w:rPr>
          <w:sz w:val="24"/>
        </w:rPr>
        <w:t>），得到拟合式（</w:t>
      </w:r>
      <w:r>
        <w:rPr>
          <w:rFonts w:hint="eastAsia"/>
          <w:sz w:val="24"/>
        </w:rPr>
        <w:t>1</w:t>
      </w:r>
      <w:r>
        <w:rPr>
          <w:sz w:val="24"/>
        </w:rPr>
        <w:t>），系数</w:t>
      </w:r>
      <w:r>
        <w:rPr>
          <w:i/>
          <w:iCs/>
          <w:sz w:val="24"/>
        </w:rPr>
        <w:t>K</w:t>
      </w:r>
      <w:r>
        <w:rPr>
          <w:sz w:val="24"/>
        </w:rPr>
        <w:t>即为试验机的系统切向刚度值。</w:t>
      </w:r>
    </w:p>
    <w:p w14:paraId="19F5B4C5">
      <w:pPr>
        <w:pStyle w:val="3"/>
        <w:spacing w:before="156" w:beforeLines="50" w:line="360" w:lineRule="auto"/>
        <w:jc w:val="both"/>
        <w:rPr>
          <w:rFonts w:eastAsia="仿宋"/>
          <w:sz w:val="24"/>
          <w:szCs w:val="24"/>
        </w:rPr>
      </w:pPr>
      <w:bookmarkStart w:id="35" w:name="_Toc197985354"/>
      <w:r>
        <w:rPr>
          <w:rFonts w:eastAsia="仿宋"/>
          <w:sz w:val="24"/>
          <w:szCs w:val="24"/>
        </w:rPr>
        <w:t>7.</w:t>
      </w:r>
      <w:r>
        <w:rPr>
          <w:rFonts w:hint="eastAsia" w:eastAsia="仿宋"/>
          <w:sz w:val="24"/>
          <w:szCs w:val="24"/>
        </w:rPr>
        <w:t>3</w:t>
      </w:r>
      <w:r>
        <w:rPr>
          <w:rFonts w:eastAsia="仿宋"/>
          <w:sz w:val="24"/>
          <w:szCs w:val="24"/>
        </w:rPr>
        <w:t xml:space="preserve"> </w:t>
      </w:r>
      <w:r>
        <w:rPr>
          <w:rFonts w:hint="eastAsia" w:eastAsia="仿宋"/>
          <w:sz w:val="24"/>
          <w:szCs w:val="24"/>
        </w:rPr>
        <w:t>测量重复性</w:t>
      </w:r>
      <w:bookmarkEnd w:id="35"/>
    </w:p>
    <w:p w14:paraId="5E378731">
      <w:pPr>
        <w:snapToGrid w:val="0"/>
        <w:spacing w:line="360" w:lineRule="auto"/>
        <w:ind w:firstLine="480" w:firstLineChars="200"/>
        <w:rPr>
          <w:sz w:val="24"/>
        </w:rPr>
      </w:pPr>
      <w:r>
        <w:rPr>
          <w:rFonts w:hint="eastAsia"/>
          <w:sz w:val="24"/>
        </w:rPr>
        <w:t>按照7.2中的校准流程（步骤），对被测试验机机械结构的同一位置进行多次加载及变形量同步测量（重复测量3次及以上），并计算得到系统切向刚度值，按式（2）计算标准差为系统切向刚度的测量重复性结果。</w:t>
      </w:r>
    </w:p>
    <w:p w14:paraId="074B080C">
      <w:pPr>
        <w:tabs>
          <w:tab w:val="center" w:pos="1537"/>
          <w:tab w:val="center" w:pos="4150"/>
          <w:tab w:val="right" w:pos="10104"/>
        </w:tabs>
        <w:spacing w:line="600" w:lineRule="auto"/>
        <w:ind w:firstLine="480" w:firstLineChars="200"/>
        <w:jc w:val="center"/>
        <w:rPr>
          <w:rStyle w:val="23"/>
          <w:rFonts w:hint="eastAsia"/>
          <w:szCs w:val="20"/>
        </w:rPr>
      </w:pPr>
      <w:r>
        <w:rPr>
          <w:rStyle w:val="23"/>
          <w:iCs/>
          <w:szCs w:val="20"/>
        </w:rPr>
        <w:tab/>
      </w:r>
      <w:r>
        <w:rPr>
          <w:rStyle w:val="23"/>
          <w:iCs/>
          <w:szCs w:val="20"/>
        </w:rPr>
        <w:tab/>
      </w:r>
      <m:oMath>
        <m:r>
          <m:rPr/>
          <w:rPr>
            <w:rStyle w:val="23"/>
            <w:rFonts w:ascii="Cambria Math" w:hAnsi="Cambria Math"/>
            <w:szCs w:val="20"/>
          </w:rPr>
          <m:t>s</m:t>
        </m:r>
        <m:d>
          <m:dPr>
            <m:ctrlPr>
              <w:rPr>
                <w:rStyle w:val="23"/>
                <w:rFonts w:ascii="Cambria Math" w:hAnsi="Cambria Math"/>
                <w:szCs w:val="20"/>
              </w:rPr>
            </m:ctrlPr>
          </m:dPr>
          <m:e>
            <m:r>
              <m:rPr/>
              <w:rPr>
                <w:rStyle w:val="23"/>
                <w:rFonts w:ascii="Cambria Math" w:hAnsi="Cambria Math"/>
                <w:szCs w:val="20"/>
              </w:rPr>
              <m:t>K</m:t>
            </m:r>
            <m:ctrlPr>
              <w:rPr>
                <w:rStyle w:val="23"/>
                <w:rFonts w:ascii="Cambria Math" w:hAnsi="Cambria Math"/>
                <w:szCs w:val="20"/>
              </w:rPr>
            </m:ctrlPr>
          </m:e>
        </m:d>
        <m:r>
          <m:rPr>
            <m:sty m:val="p"/>
          </m:rPr>
          <w:rPr>
            <w:rStyle w:val="23"/>
            <w:rFonts w:ascii="Cambria Math" w:hAnsi="Cambria Math"/>
            <w:szCs w:val="20"/>
          </w:rPr>
          <m:t>=</m:t>
        </m:r>
        <m:rad>
          <m:radPr>
            <m:degHide m:val="1"/>
            <m:ctrlPr>
              <w:rPr>
                <w:rStyle w:val="23"/>
                <w:rFonts w:ascii="Cambria Math" w:hAnsi="Cambria Math"/>
                <w:szCs w:val="20"/>
              </w:rPr>
            </m:ctrlPr>
          </m:radPr>
          <m:deg>
            <m:ctrlPr>
              <w:rPr>
                <w:rStyle w:val="23"/>
                <w:rFonts w:ascii="Cambria Math" w:hAnsi="Cambria Math"/>
                <w:szCs w:val="20"/>
              </w:rPr>
            </m:ctrlPr>
          </m:deg>
          <m:e>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r>
                  <m:rPr>
                    <m:sty m:val="p"/>
                  </m:rPr>
                  <w:rPr>
                    <w:rStyle w:val="23"/>
                    <w:rFonts w:ascii="Cambria Math" w:hAnsi="Cambria Math"/>
                    <w:szCs w:val="20"/>
                  </w:rPr>
                  <m:t>−1</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p>
                  <m:sSupPr>
                    <m:ctrlPr>
                      <w:rPr>
                        <w:rStyle w:val="23"/>
                        <w:rFonts w:ascii="Cambria Math" w:hAnsi="Cambria Math"/>
                        <w:szCs w:val="20"/>
                      </w:rPr>
                    </m:ctrlPr>
                  </m:sSupPr>
                  <m:e>
                    <m:sSub>
                      <m:sSubPr>
                        <m:ctrlPr>
                          <w:rPr>
                            <w:rStyle w:val="23"/>
                            <w:rFonts w:ascii="Cambria Math" w:hAnsi="Cambria Math"/>
                            <w:szCs w:val="20"/>
                          </w:rPr>
                        </m:ctrlPr>
                      </m:sSubPr>
                      <m:e>
                        <m:r>
                          <m:rPr>
                            <m:sty m:val="p"/>
                          </m:rPr>
                          <w:rPr>
                            <w:rStyle w:val="23"/>
                            <w:rFonts w:ascii="Cambria Math" w:hAnsi="Cambria Math"/>
                            <w:szCs w:val="20"/>
                          </w:rPr>
                          <m:t>(</m:t>
                        </m:r>
                        <m:r>
                          <m:rPr/>
                          <w:rPr>
                            <w:rStyle w:val="23"/>
                            <w:rFonts w:ascii="Cambria Math" w:hAnsi="Cambria Math"/>
                            <w:szCs w:val="20"/>
                          </w:rPr>
                          <m:t>K</m:t>
                        </m:r>
                        <m:ctrlPr>
                          <w:rPr>
                            <w:rStyle w:val="23"/>
                            <w:rFonts w:ascii="Cambria Math" w:hAnsi="Cambria Math"/>
                            <w:szCs w:val="20"/>
                          </w:rPr>
                        </m:ctrlPr>
                      </m:e>
                      <m:sub>
                        <m:r>
                          <m:rPr/>
                          <w:rPr>
                            <w:rStyle w:val="23"/>
                            <w:rFonts w:ascii="Cambria Math" w:hAnsi="Cambria Math"/>
                            <w:szCs w:val="20"/>
                          </w:rPr>
                          <m:t>i</m:t>
                        </m:r>
                        <m:ctrlPr>
                          <w:rPr>
                            <w:rStyle w:val="23"/>
                            <w:rFonts w:ascii="Cambria Math" w:hAnsi="Cambria Math"/>
                            <w:szCs w:val="20"/>
                          </w:rPr>
                        </m:ctrlPr>
                      </m:sub>
                    </m:sSub>
                    <m:r>
                      <m:rPr>
                        <m:sty m:val="p"/>
                      </m:rPr>
                      <w:rPr>
                        <w:rStyle w:val="23"/>
                        <w:rFonts w:ascii="Cambria Math" w:hAnsi="Cambria Math"/>
                        <w:szCs w:val="20"/>
                      </w:rPr>
                      <m:t>−</m:t>
                    </m:r>
                    <m:acc>
                      <m:accPr>
                        <m:chr m:val="̅"/>
                        <m:ctrlPr>
                          <w:rPr>
                            <w:rStyle w:val="23"/>
                            <w:rFonts w:ascii="Cambria Math" w:hAnsi="Cambria Math"/>
                            <w:szCs w:val="20"/>
                          </w:rPr>
                        </m:ctrlPr>
                      </m:accPr>
                      <m:e>
                        <m:r>
                          <m:rPr/>
                          <w:rPr>
                            <w:rStyle w:val="23"/>
                            <w:rFonts w:ascii="Cambria Math" w:hAnsi="Cambria Math"/>
                            <w:szCs w:val="20"/>
                          </w:rPr>
                          <m:t>K</m:t>
                        </m:r>
                        <m:ctrlPr>
                          <w:rPr>
                            <w:rStyle w:val="23"/>
                            <w:rFonts w:ascii="Cambria Math" w:hAnsi="Cambria Math"/>
                            <w:szCs w:val="20"/>
                          </w:rPr>
                        </m:ctrlPr>
                      </m:e>
                    </m:acc>
                    <m:r>
                      <m:rPr>
                        <m:sty m:val="p"/>
                      </m:rPr>
                      <w:rPr>
                        <w:rStyle w:val="23"/>
                        <w:rFonts w:ascii="Cambria Math" w:hAnsi="Cambria Math"/>
                        <w:szCs w:val="20"/>
                      </w:rPr>
                      <m:t>)</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ctrlPr>
                  <w:rPr>
                    <w:rStyle w:val="23"/>
                    <w:rFonts w:ascii="Cambria Math" w:hAnsi="Cambria Math"/>
                    <w:szCs w:val="20"/>
                  </w:rPr>
                </m:ctrlPr>
              </m:e>
            </m:nary>
            <m:ctrlPr>
              <w:rPr>
                <w:rStyle w:val="23"/>
                <w:rFonts w:ascii="Cambria Math" w:hAnsi="Cambria Math"/>
                <w:szCs w:val="20"/>
              </w:rPr>
            </m:ctrlPr>
          </m:e>
        </m:rad>
      </m:oMath>
      <w:r>
        <w:rPr>
          <w:rStyle w:val="23"/>
          <w:szCs w:val="20"/>
        </w:rPr>
        <w:tab/>
      </w:r>
      <w:r>
        <w:rPr>
          <w:rStyle w:val="23"/>
          <w:rFonts w:ascii="Times New Roman" w:hAnsi="Times New Roman"/>
          <w:szCs w:val="20"/>
        </w:rPr>
        <w:t>（2）</w:t>
      </w:r>
    </w:p>
    <w:p w14:paraId="7A52654C">
      <w:pPr>
        <w:snapToGrid w:val="0"/>
        <w:spacing w:line="360" w:lineRule="auto"/>
        <w:ind w:firstLine="480" w:firstLineChars="200"/>
        <w:rPr>
          <w:rStyle w:val="23"/>
          <w:rFonts w:hint="eastAsia"/>
          <w:szCs w:val="20"/>
        </w:rPr>
      </w:pPr>
      <w:r>
        <w:rPr>
          <w:rStyle w:val="23"/>
          <w:rFonts w:hint="eastAsia"/>
          <w:szCs w:val="20"/>
        </w:rPr>
        <w:t>式中：</w:t>
      </w:r>
    </w:p>
    <w:p w14:paraId="34C9A055">
      <w:pPr>
        <w:snapToGrid w:val="0"/>
        <w:spacing w:line="360" w:lineRule="auto"/>
        <w:ind w:left="707" w:leftChars="337" w:firstLine="480" w:firstLineChars="200"/>
        <w:rPr>
          <w:rStyle w:val="23"/>
          <w:rFonts w:ascii="Times New Roman" w:hAnsi="Times New Roman"/>
          <w:szCs w:val="20"/>
        </w:rPr>
      </w:pPr>
      <m:oMath>
        <m:r>
          <m:rPr/>
          <w:rPr>
            <w:rStyle w:val="23"/>
            <w:rFonts w:ascii="Cambria Math" w:hAnsi="Cambria Math"/>
            <w:szCs w:val="20"/>
          </w:rPr>
          <m:t>s</m:t>
        </m:r>
        <m:d>
          <m:dPr>
            <m:ctrlPr>
              <w:rPr>
                <w:rStyle w:val="23"/>
                <w:rFonts w:ascii="Cambria Math" w:hAnsi="Cambria Math"/>
                <w:szCs w:val="20"/>
              </w:rPr>
            </m:ctrlPr>
          </m:dPr>
          <m:e>
            <m:r>
              <m:rPr/>
              <w:rPr>
                <w:rStyle w:val="23"/>
                <w:rFonts w:ascii="Cambria Math" w:hAnsi="Cambria Math"/>
                <w:szCs w:val="20"/>
              </w:rPr>
              <m:t>K</m:t>
            </m:r>
            <m:ctrlPr>
              <w:rPr>
                <w:rStyle w:val="23"/>
                <w:rFonts w:ascii="Cambria Math" w:hAnsi="Cambria Math"/>
                <w:szCs w:val="20"/>
              </w:rPr>
            </m:ctrlPr>
          </m:e>
        </m:d>
        <m:r>
          <m:rPr/>
          <w:rPr>
            <w:rStyle w:val="23"/>
            <w:rFonts w:ascii="Cambria Math" w:hAnsi="Cambria Math"/>
            <w:szCs w:val="20"/>
          </w:rPr>
          <m:t xml:space="preserve"> </m:t>
        </m:r>
      </m:oMath>
      <w:r>
        <w:rPr>
          <w:rStyle w:val="23"/>
          <w:rFonts w:ascii="Times New Roman" w:hAnsi="Times New Roman"/>
          <w:szCs w:val="20"/>
        </w:rPr>
        <w:t>为试验机</w:t>
      </w:r>
      <w:r>
        <w:rPr>
          <w:sz w:val="24"/>
        </w:rPr>
        <w:t>系统切向刚度</w:t>
      </w:r>
      <w:r>
        <w:rPr>
          <w:rStyle w:val="23"/>
          <w:rFonts w:ascii="Times New Roman" w:hAnsi="Times New Roman"/>
          <w:szCs w:val="20"/>
        </w:rPr>
        <w:t>测量重复性；</w:t>
      </w:r>
    </w:p>
    <w:p w14:paraId="6E659428">
      <w:pPr>
        <w:snapToGrid w:val="0"/>
        <w:spacing w:line="360" w:lineRule="auto"/>
        <w:ind w:left="707" w:leftChars="337" w:firstLine="480" w:firstLineChars="200"/>
        <w:rPr>
          <w:rStyle w:val="23"/>
          <w:rFonts w:ascii="Times New Roman" w:hAnsi="Times New Roman"/>
          <w:szCs w:val="20"/>
        </w:rPr>
      </w:pPr>
      <m:oMath>
        <m:sSub>
          <m:sSubPr>
            <m:ctrlPr>
              <w:rPr>
                <w:rStyle w:val="23"/>
                <w:rFonts w:ascii="Cambria Math" w:hAnsi="Cambria Math"/>
                <w:szCs w:val="20"/>
              </w:rPr>
            </m:ctrlPr>
          </m:sSubPr>
          <m:e>
            <m:r>
              <m:rPr/>
              <w:rPr>
                <w:rStyle w:val="23"/>
                <w:rFonts w:ascii="Cambria Math" w:hAnsi="Cambria Math"/>
                <w:szCs w:val="20"/>
              </w:rPr>
              <m:t>K</m:t>
            </m:r>
            <m:ctrlPr>
              <w:rPr>
                <w:rStyle w:val="23"/>
                <w:rFonts w:ascii="Cambria Math" w:hAnsi="Cambria Math"/>
                <w:szCs w:val="20"/>
              </w:rPr>
            </m:ctrlPr>
          </m:e>
          <m:sub>
            <m:r>
              <m:rPr/>
              <w:rPr>
                <w:rStyle w:val="23"/>
                <w:rFonts w:ascii="Cambria Math" w:hAnsi="Cambria Math"/>
                <w:szCs w:val="20"/>
              </w:rPr>
              <m:t>i</m:t>
            </m:r>
            <m:ctrlPr>
              <w:rPr>
                <w:rStyle w:val="23"/>
                <w:rFonts w:ascii="Cambria Math" w:hAnsi="Cambria Math"/>
                <w:szCs w:val="20"/>
              </w:rPr>
            </m:ctrlPr>
          </m:sub>
        </m:sSub>
      </m:oMath>
      <w:r>
        <w:rPr>
          <w:rStyle w:val="23"/>
          <w:rFonts w:ascii="Times New Roman" w:hAnsi="Times New Roman"/>
          <w:szCs w:val="20"/>
        </w:rPr>
        <w:t>为第</w:t>
      </w:r>
      <w:r>
        <w:rPr>
          <w:rStyle w:val="23"/>
          <w:rFonts w:ascii="Times New Roman" w:hAnsi="Times New Roman"/>
          <w:i/>
          <w:iCs/>
          <w:szCs w:val="20"/>
        </w:rPr>
        <w:t>i</w:t>
      </w:r>
      <w:r>
        <w:rPr>
          <w:rStyle w:val="23"/>
          <w:rFonts w:ascii="Times New Roman" w:hAnsi="Times New Roman"/>
          <w:szCs w:val="20"/>
        </w:rPr>
        <w:t>次测量的试验机系统切向刚度值；</w:t>
      </w:r>
    </w:p>
    <w:p w14:paraId="42DA7612">
      <w:pPr>
        <w:snapToGrid w:val="0"/>
        <w:spacing w:line="360" w:lineRule="auto"/>
        <w:ind w:left="707" w:leftChars="337" w:firstLine="480" w:firstLineChars="200"/>
        <w:rPr>
          <w:rStyle w:val="23"/>
          <w:rFonts w:ascii="Times New Roman" w:hAnsi="Times New Roman"/>
          <w:szCs w:val="20"/>
        </w:rPr>
      </w:pPr>
      <m:oMath>
        <m:acc>
          <m:accPr>
            <m:chr m:val="̅"/>
            <m:ctrlPr>
              <w:rPr>
                <w:rStyle w:val="23"/>
                <w:rFonts w:ascii="Cambria Math" w:hAnsi="Cambria Math"/>
                <w:szCs w:val="20"/>
              </w:rPr>
            </m:ctrlPr>
          </m:accPr>
          <m:e>
            <m:r>
              <m:rPr/>
              <w:rPr>
                <w:rStyle w:val="23"/>
                <w:rFonts w:ascii="Cambria Math" w:hAnsi="Cambria Math"/>
                <w:szCs w:val="20"/>
              </w:rPr>
              <m:t>K</m:t>
            </m:r>
            <m:ctrlPr>
              <w:rPr>
                <w:rStyle w:val="23"/>
                <w:rFonts w:ascii="Cambria Math" w:hAnsi="Cambria Math"/>
                <w:szCs w:val="20"/>
              </w:rPr>
            </m:ctrlPr>
          </m:e>
        </m:acc>
      </m:oMath>
      <w:r>
        <w:rPr>
          <w:rStyle w:val="23"/>
          <w:rFonts w:ascii="Times New Roman" w:hAnsi="Times New Roman"/>
          <w:szCs w:val="20"/>
        </w:rPr>
        <w:t>为</w:t>
      </w:r>
      <w:r>
        <w:rPr>
          <w:rStyle w:val="23"/>
          <w:rFonts w:ascii="Times New Roman" w:hAnsi="Times New Roman"/>
          <w:i/>
          <w:iCs/>
          <w:szCs w:val="20"/>
        </w:rPr>
        <w:t>n</w:t>
      </w:r>
      <w:r>
        <w:rPr>
          <w:rStyle w:val="23"/>
          <w:rFonts w:ascii="Times New Roman" w:hAnsi="Times New Roman"/>
          <w:szCs w:val="20"/>
        </w:rPr>
        <w:t>次测量的试验机系统切向刚度算术平均值；</w:t>
      </w:r>
    </w:p>
    <w:p w14:paraId="7EFFD38C">
      <w:pPr>
        <w:snapToGrid w:val="0"/>
        <w:spacing w:line="360" w:lineRule="auto"/>
        <w:ind w:left="707" w:leftChars="337" w:firstLine="480" w:firstLineChars="200"/>
        <w:rPr>
          <w:rStyle w:val="23"/>
          <w:rFonts w:ascii="Times New Roman" w:hAnsi="Times New Roman"/>
          <w:szCs w:val="20"/>
        </w:rPr>
      </w:pPr>
      <w:r>
        <w:rPr>
          <w:rStyle w:val="23"/>
          <w:rFonts w:ascii="Times New Roman" w:hAnsi="Times New Roman"/>
          <w:i/>
          <w:iCs/>
          <w:szCs w:val="20"/>
        </w:rPr>
        <w:t>n</w:t>
      </w:r>
      <w:r>
        <w:rPr>
          <w:rStyle w:val="23"/>
          <w:rFonts w:ascii="Times New Roman" w:hAnsi="Times New Roman"/>
          <w:szCs w:val="20"/>
        </w:rPr>
        <w:t>为测量次数。</w:t>
      </w:r>
    </w:p>
    <w:p w14:paraId="1F94A354">
      <w:pPr>
        <w:pStyle w:val="2"/>
        <w:spacing w:before="312" w:beforeLines="100" w:line="360" w:lineRule="auto"/>
        <w:ind w:firstLine="0" w:firstLineChars="0"/>
        <w:rPr>
          <w:b/>
          <w:bCs/>
          <w:sz w:val="24"/>
          <w:szCs w:val="24"/>
        </w:rPr>
      </w:pPr>
      <w:bookmarkStart w:id="36" w:name="_Toc150304322"/>
      <w:bookmarkStart w:id="37" w:name="_Toc197985355"/>
      <w:r>
        <w:rPr>
          <w:b/>
          <w:bCs/>
          <w:sz w:val="24"/>
          <w:szCs w:val="24"/>
        </w:rPr>
        <w:t>8  校准结果的表达</w:t>
      </w:r>
      <w:bookmarkEnd w:id="36"/>
      <w:bookmarkEnd w:id="37"/>
    </w:p>
    <w:p w14:paraId="244A8EC8">
      <w:pPr>
        <w:spacing w:line="360" w:lineRule="auto"/>
        <w:ind w:left="360"/>
        <w:rPr>
          <w:sz w:val="24"/>
          <w:szCs w:val="24"/>
        </w:rPr>
      </w:pPr>
      <w:r>
        <w:rPr>
          <w:sz w:val="24"/>
          <w:szCs w:val="24"/>
        </w:rPr>
        <w:t>校准结果应在校准证书上反映，校准证书应至少包括以下信息：</w:t>
      </w:r>
    </w:p>
    <w:p w14:paraId="5B544A26">
      <w:pPr>
        <w:spacing w:line="360" w:lineRule="auto"/>
        <w:ind w:left="360"/>
        <w:rPr>
          <w:sz w:val="24"/>
          <w:szCs w:val="24"/>
        </w:rPr>
      </w:pPr>
      <w:r>
        <w:rPr>
          <w:sz w:val="24"/>
          <w:szCs w:val="24"/>
        </w:rPr>
        <w:t>a)  标题，如“校准证书”；</w:t>
      </w:r>
    </w:p>
    <w:p w14:paraId="4BAD762F">
      <w:pPr>
        <w:spacing w:line="360" w:lineRule="auto"/>
        <w:ind w:left="360"/>
        <w:rPr>
          <w:sz w:val="24"/>
          <w:szCs w:val="24"/>
        </w:rPr>
      </w:pPr>
      <w:r>
        <w:rPr>
          <w:sz w:val="24"/>
          <w:szCs w:val="24"/>
        </w:rPr>
        <w:t>b)  实验室名称和地址；</w:t>
      </w:r>
    </w:p>
    <w:p w14:paraId="589BD5DE">
      <w:pPr>
        <w:spacing w:line="360" w:lineRule="auto"/>
        <w:ind w:left="360"/>
        <w:rPr>
          <w:sz w:val="24"/>
          <w:szCs w:val="24"/>
        </w:rPr>
      </w:pPr>
      <w:r>
        <w:rPr>
          <w:sz w:val="24"/>
          <w:szCs w:val="24"/>
        </w:rPr>
        <w:t>c)  进行校准的地点（如果与实验室的地址不同）；</w:t>
      </w:r>
    </w:p>
    <w:p w14:paraId="6D689BF5">
      <w:pPr>
        <w:spacing w:line="360" w:lineRule="auto"/>
        <w:ind w:left="360"/>
        <w:rPr>
          <w:sz w:val="24"/>
          <w:szCs w:val="24"/>
        </w:rPr>
      </w:pPr>
      <w:r>
        <w:rPr>
          <w:sz w:val="24"/>
          <w:szCs w:val="24"/>
        </w:rPr>
        <w:t>d)  证书或报告的唯一性标识（如编号），每页及总页数的标识；</w:t>
      </w:r>
    </w:p>
    <w:p w14:paraId="6133FEF0">
      <w:pPr>
        <w:spacing w:line="360" w:lineRule="auto"/>
        <w:ind w:left="360"/>
        <w:rPr>
          <w:sz w:val="24"/>
          <w:szCs w:val="24"/>
        </w:rPr>
      </w:pPr>
      <w:r>
        <w:rPr>
          <w:sz w:val="24"/>
          <w:szCs w:val="24"/>
        </w:rPr>
        <w:t>e)  客户的名称和地址；</w:t>
      </w:r>
    </w:p>
    <w:p w14:paraId="22C81D9F">
      <w:pPr>
        <w:spacing w:line="360" w:lineRule="auto"/>
        <w:ind w:left="360"/>
        <w:rPr>
          <w:sz w:val="24"/>
          <w:szCs w:val="24"/>
        </w:rPr>
      </w:pPr>
      <w:r>
        <w:rPr>
          <w:sz w:val="24"/>
          <w:szCs w:val="24"/>
        </w:rPr>
        <w:t>f)  被校对象的描述和明确标识；</w:t>
      </w:r>
    </w:p>
    <w:p w14:paraId="72252DD5">
      <w:pPr>
        <w:spacing w:line="360" w:lineRule="auto"/>
        <w:ind w:left="360"/>
        <w:rPr>
          <w:sz w:val="24"/>
          <w:szCs w:val="24"/>
        </w:rPr>
      </w:pPr>
      <w:r>
        <w:rPr>
          <w:sz w:val="24"/>
          <w:szCs w:val="24"/>
        </w:rPr>
        <w:t xml:space="preserve">g)  进行校准的日期，如果与校准结果的有效性和应用有关时，应说明被校对象的接收日期； </w:t>
      </w:r>
    </w:p>
    <w:p w14:paraId="4713B8A8">
      <w:pPr>
        <w:spacing w:line="360" w:lineRule="auto"/>
        <w:ind w:left="360"/>
        <w:rPr>
          <w:sz w:val="24"/>
          <w:szCs w:val="24"/>
        </w:rPr>
      </w:pPr>
      <w:r>
        <w:rPr>
          <w:sz w:val="24"/>
          <w:szCs w:val="24"/>
        </w:rPr>
        <w:t xml:space="preserve">h)  如果与校准结果的有效性和应用有关时，应对被校样品的抽样程序进行说明； </w:t>
      </w:r>
    </w:p>
    <w:p w14:paraId="5A9FD4C1">
      <w:pPr>
        <w:spacing w:line="360" w:lineRule="auto"/>
        <w:ind w:left="360"/>
        <w:rPr>
          <w:sz w:val="24"/>
          <w:szCs w:val="24"/>
        </w:rPr>
      </w:pPr>
      <w:r>
        <w:rPr>
          <w:sz w:val="24"/>
          <w:szCs w:val="24"/>
        </w:rPr>
        <w:t>i)  校准所依据的技术规范的标识，包括名称及代号；</w:t>
      </w:r>
    </w:p>
    <w:p w14:paraId="40B1D425">
      <w:pPr>
        <w:spacing w:line="360" w:lineRule="auto"/>
        <w:ind w:left="360"/>
        <w:rPr>
          <w:sz w:val="24"/>
          <w:szCs w:val="24"/>
        </w:rPr>
      </w:pPr>
      <w:r>
        <w:rPr>
          <w:sz w:val="24"/>
          <w:szCs w:val="24"/>
        </w:rPr>
        <w:t>j)  本次校准所用测量标准的溯源性及有效性说明；</w:t>
      </w:r>
    </w:p>
    <w:p w14:paraId="012455BA">
      <w:pPr>
        <w:spacing w:line="360" w:lineRule="auto"/>
        <w:ind w:left="360"/>
        <w:rPr>
          <w:sz w:val="24"/>
          <w:szCs w:val="24"/>
        </w:rPr>
      </w:pPr>
      <w:r>
        <w:rPr>
          <w:sz w:val="24"/>
          <w:szCs w:val="24"/>
        </w:rPr>
        <w:t>k)  校准环境的描述；</w:t>
      </w:r>
    </w:p>
    <w:p w14:paraId="69F98294">
      <w:pPr>
        <w:spacing w:line="360" w:lineRule="auto"/>
        <w:ind w:left="360"/>
        <w:rPr>
          <w:sz w:val="24"/>
          <w:szCs w:val="24"/>
        </w:rPr>
      </w:pPr>
      <w:r>
        <w:rPr>
          <w:sz w:val="24"/>
          <w:szCs w:val="24"/>
        </w:rPr>
        <w:t>l)  校准结果及其测量不确定度的说明；</w:t>
      </w:r>
    </w:p>
    <w:p w14:paraId="241368F2">
      <w:pPr>
        <w:spacing w:line="360" w:lineRule="auto"/>
        <w:ind w:left="360"/>
        <w:rPr>
          <w:sz w:val="24"/>
          <w:szCs w:val="24"/>
        </w:rPr>
      </w:pPr>
      <w:r>
        <w:rPr>
          <w:sz w:val="24"/>
          <w:szCs w:val="24"/>
        </w:rPr>
        <w:t xml:space="preserve">m)  </w:t>
      </w:r>
      <w:r>
        <w:rPr>
          <w:sz w:val="24"/>
        </w:rPr>
        <w:t>对校准规范偏离的说明（若有）；</w:t>
      </w:r>
    </w:p>
    <w:p w14:paraId="17ADD08D">
      <w:pPr>
        <w:spacing w:line="360" w:lineRule="auto"/>
        <w:ind w:left="360"/>
        <w:rPr>
          <w:sz w:val="24"/>
          <w:szCs w:val="24"/>
        </w:rPr>
      </w:pPr>
      <w:r>
        <w:rPr>
          <w:sz w:val="24"/>
          <w:szCs w:val="24"/>
        </w:rPr>
        <w:t>n)  校准证书或校准报告签发人的签名、职务或等效标识、以及签发日期；</w:t>
      </w:r>
    </w:p>
    <w:p w14:paraId="02267363">
      <w:pPr>
        <w:spacing w:line="360" w:lineRule="auto"/>
        <w:ind w:left="360"/>
        <w:rPr>
          <w:sz w:val="24"/>
          <w:szCs w:val="24"/>
        </w:rPr>
      </w:pPr>
      <w:r>
        <w:rPr>
          <w:sz w:val="24"/>
          <w:szCs w:val="24"/>
        </w:rPr>
        <w:t>o)  校准结果仅对被校对象有效的声明；</w:t>
      </w:r>
    </w:p>
    <w:p w14:paraId="18255F5B">
      <w:pPr>
        <w:spacing w:line="360" w:lineRule="auto"/>
        <w:ind w:left="360"/>
        <w:rPr>
          <w:sz w:val="24"/>
          <w:szCs w:val="24"/>
        </w:rPr>
      </w:pPr>
      <w:r>
        <w:rPr>
          <w:sz w:val="24"/>
          <w:szCs w:val="24"/>
        </w:rPr>
        <w:t>p)  未经实验室书面批准，不得部分复制证书的声明。</w:t>
      </w:r>
    </w:p>
    <w:p w14:paraId="6CC7D6FD">
      <w:pPr>
        <w:pStyle w:val="2"/>
        <w:spacing w:before="312" w:beforeLines="100" w:line="360" w:lineRule="auto"/>
        <w:ind w:firstLine="0" w:firstLineChars="0"/>
        <w:rPr>
          <w:b/>
          <w:bCs/>
          <w:sz w:val="24"/>
          <w:szCs w:val="24"/>
        </w:rPr>
      </w:pPr>
      <w:bookmarkStart w:id="38" w:name="_Toc150304323"/>
      <w:bookmarkStart w:id="39" w:name="_Toc197985356"/>
      <w:r>
        <w:rPr>
          <w:b/>
          <w:bCs/>
          <w:sz w:val="24"/>
          <w:szCs w:val="24"/>
        </w:rPr>
        <w:t>9  复校时间间隔</w:t>
      </w:r>
      <w:bookmarkEnd w:id="38"/>
      <w:bookmarkEnd w:id="39"/>
    </w:p>
    <w:p w14:paraId="498F89D7">
      <w:pPr>
        <w:spacing w:line="360" w:lineRule="auto"/>
        <w:ind w:firstLine="480" w:firstLineChars="200"/>
        <w:rPr>
          <w:sz w:val="24"/>
          <w:szCs w:val="24"/>
        </w:rPr>
      </w:pPr>
      <w:r>
        <w:rPr>
          <w:sz w:val="24"/>
          <w:szCs w:val="24"/>
        </w:rPr>
        <w:t>仪器的复校时间间隔建议不超过1年。由于复校时间间隔的长短是由仪器的使用情况、使用者、仪器本身质量等诸因素所决定的，因此送校单位可根据实际使用情况自主决定复校时间间隔。如果对仪器的检测数据有怀疑或仪器更换主要部件及修理后应对仪器重新校准。</w:t>
      </w:r>
    </w:p>
    <w:p w14:paraId="22A7E688">
      <w:pPr>
        <w:widowControl/>
        <w:jc w:val="left"/>
        <w:rPr>
          <w:b/>
          <w:bCs/>
          <w:kern w:val="0"/>
          <w:sz w:val="24"/>
          <w:szCs w:val="24"/>
        </w:rPr>
      </w:pPr>
      <w:r>
        <w:rPr>
          <w:b/>
          <w:bCs/>
          <w:sz w:val="24"/>
          <w:szCs w:val="24"/>
        </w:rPr>
        <w:br w:type="page"/>
      </w:r>
    </w:p>
    <w:p w14:paraId="1E43B8B0">
      <w:pPr>
        <w:pStyle w:val="2"/>
        <w:spacing w:before="312" w:beforeLines="100"/>
        <w:ind w:firstLine="0" w:firstLineChars="0"/>
        <w:rPr>
          <w:b/>
          <w:bCs/>
          <w:sz w:val="24"/>
          <w:szCs w:val="24"/>
        </w:rPr>
      </w:pPr>
      <w:bookmarkStart w:id="40" w:name="_Toc197985357"/>
      <w:r>
        <w:rPr>
          <w:b/>
          <w:bCs/>
          <w:sz w:val="24"/>
          <w:szCs w:val="24"/>
        </w:rPr>
        <w:t>附录A</w:t>
      </w:r>
      <w:bookmarkEnd w:id="40"/>
    </w:p>
    <w:p w14:paraId="27110424">
      <w:pPr>
        <w:jc w:val="center"/>
        <w:rPr>
          <w:rFonts w:eastAsia="黑体"/>
          <w:sz w:val="28"/>
          <w:szCs w:val="28"/>
        </w:rPr>
      </w:pPr>
      <w:r>
        <w:rPr>
          <w:rFonts w:eastAsia="黑体"/>
          <w:sz w:val="28"/>
          <w:szCs w:val="28"/>
        </w:rPr>
        <w:t>试验机系统切向刚度计量校准装置</w:t>
      </w:r>
      <w:r>
        <w:rPr>
          <w:rFonts w:eastAsia="黑体"/>
          <w:sz w:val="32"/>
          <w:szCs w:val="32"/>
        </w:rPr>
        <w:t>-</w:t>
      </w:r>
      <w:r>
        <w:rPr>
          <w:rFonts w:eastAsia="黑体"/>
          <w:sz w:val="28"/>
          <w:szCs w:val="28"/>
        </w:rPr>
        <w:t>光谱共焦传感器</w:t>
      </w:r>
    </w:p>
    <w:p w14:paraId="52D8A880">
      <w:pPr>
        <w:jc w:val="center"/>
        <w:rPr>
          <w:rFonts w:eastAsia="黑体"/>
          <w:sz w:val="32"/>
          <w:szCs w:val="32"/>
        </w:rPr>
      </w:pPr>
      <w:r>
        <w:rPr>
          <w:rFonts w:eastAsia="黑体"/>
          <w:sz w:val="28"/>
          <w:szCs w:val="28"/>
        </w:rPr>
        <w:t>校准方法及不确定度评定</w:t>
      </w:r>
    </w:p>
    <w:p w14:paraId="5CC52505">
      <w:pPr>
        <w:spacing w:line="360" w:lineRule="auto"/>
        <w:rPr>
          <w:b/>
          <w:bCs/>
          <w:sz w:val="24"/>
          <w:szCs w:val="24"/>
        </w:rPr>
      </w:pPr>
      <w:r>
        <w:rPr>
          <w:b/>
          <w:bCs/>
          <w:sz w:val="24"/>
          <w:szCs w:val="24"/>
        </w:rPr>
        <w:t>A.1测试要求</w:t>
      </w:r>
    </w:p>
    <w:p w14:paraId="122A0796">
      <w:pPr>
        <w:spacing w:line="360" w:lineRule="auto"/>
        <w:ind w:firstLine="480" w:firstLineChars="200"/>
        <w:rPr>
          <w:sz w:val="24"/>
          <w:szCs w:val="24"/>
        </w:rPr>
      </w:pPr>
      <w:r>
        <w:rPr>
          <w:sz w:val="24"/>
          <w:szCs w:val="24"/>
        </w:rPr>
        <w:t>光谱共焦传感器（Chromatographic Confocal Sensor）是一种基于光学共焦原理和光谱分析技术的高精度非接触式测量设备。它通过分析被测物体反射光的波长信息，实现纳米级分辨率的距离、厚度和表面形貌测量。德国米铱ConfocalDT系列产品代表了光谱共焦技术中的最高精度和动态性，该校准装置包含目前可用的速度最快的控制器，可在位移和距离测量以及透明物体的厚度测量任务中实现高精度测量的结果。</w:t>
      </w:r>
    </w:p>
    <w:p w14:paraId="34C5FD44">
      <w:pPr>
        <w:spacing w:line="360" w:lineRule="auto"/>
        <w:ind w:firstLine="480" w:firstLineChars="200"/>
        <w:rPr>
          <w:sz w:val="24"/>
          <w:szCs w:val="24"/>
        </w:rPr>
      </w:pPr>
      <w:r>
        <w:rPr>
          <w:sz w:val="24"/>
          <w:szCs w:val="24"/>
        </w:rPr>
        <w:t>摩擦磨损试验机由于系统切向刚度的影响，在受到切向力的作用下，其</w:t>
      </w:r>
      <w:r>
        <w:rPr>
          <w:rFonts w:hint="eastAsia"/>
          <w:sz w:val="24"/>
          <w:szCs w:val="24"/>
        </w:rPr>
        <w:t>系统结构产生的变形</w:t>
      </w:r>
      <w:r>
        <w:rPr>
          <w:sz w:val="24"/>
          <w:szCs w:val="24"/>
        </w:rPr>
        <w:t>量在μ</w:t>
      </w:r>
      <w:r>
        <w:rPr>
          <w:rFonts w:hint="eastAsia"/>
          <w:sz w:val="24"/>
          <w:szCs w:val="24"/>
        </w:rPr>
        <w:t>m</w:t>
      </w:r>
      <w:r>
        <w:rPr>
          <w:sz w:val="24"/>
          <w:szCs w:val="24"/>
        </w:rPr>
        <w:t>量级，因此在进行试验机系统切向刚度计量校准前，需要对光谱共焦传感器进行测试校准。</w:t>
      </w:r>
    </w:p>
    <w:p w14:paraId="2A91D892">
      <w:pPr>
        <w:spacing w:before="312" w:beforeLines="100" w:line="360" w:lineRule="auto"/>
        <w:rPr>
          <w:b/>
          <w:bCs/>
          <w:sz w:val="24"/>
          <w:szCs w:val="24"/>
        </w:rPr>
      </w:pPr>
      <w:r>
        <w:rPr>
          <w:b/>
          <w:bCs/>
          <w:sz w:val="24"/>
          <w:szCs w:val="24"/>
        </w:rPr>
        <w:t>A.2被测仪器技术指标</w:t>
      </w:r>
    </w:p>
    <w:p w14:paraId="382E1BBA">
      <w:pPr>
        <w:pStyle w:val="56"/>
        <w:numPr>
          <w:ilvl w:val="0"/>
          <w:numId w:val="2"/>
        </w:numPr>
        <w:spacing w:line="360" w:lineRule="auto"/>
        <w:ind w:left="442" w:hanging="442" w:firstLineChars="0"/>
        <w:rPr>
          <w:sz w:val="24"/>
          <w:szCs w:val="24"/>
        </w:rPr>
      </w:pPr>
      <w:r>
        <w:rPr>
          <w:sz w:val="24"/>
          <w:szCs w:val="24"/>
        </w:rPr>
        <w:t>实现微米级系统切向形变量的精确测量与数据输出；</w:t>
      </w:r>
    </w:p>
    <w:p w14:paraId="4D8BCC52">
      <w:pPr>
        <w:pStyle w:val="56"/>
        <w:numPr>
          <w:ilvl w:val="0"/>
          <w:numId w:val="2"/>
        </w:numPr>
        <w:spacing w:line="360" w:lineRule="auto"/>
        <w:ind w:left="442" w:hanging="442" w:firstLineChars="0"/>
        <w:rPr>
          <w:sz w:val="24"/>
          <w:szCs w:val="24"/>
        </w:rPr>
      </w:pPr>
      <w:r>
        <w:rPr>
          <w:sz w:val="24"/>
          <w:szCs w:val="24"/>
        </w:rPr>
        <w:t>针对测量往复式摩擦磨损试验机的光谱共焦传感器测量范围为0-1mm，测量不确定度优于±1μm。</w:t>
      </w:r>
    </w:p>
    <w:p w14:paraId="072A3358">
      <w:pPr>
        <w:spacing w:before="312" w:beforeLines="100" w:line="360" w:lineRule="auto"/>
        <w:rPr>
          <w:b/>
          <w:bCs/>
          <w:sz w:val="24"/>
          <w:szCs w:val="24"/>
        </w:rPr>
      </w:pPr>
      <w:r>
        <w:rPr>
          <w:b/>
          <w:bCs/>
          <w:sz w:val="24"/>
          <w:szCs w:val="24"/>
        </w:rPr>
        <w:t>A.3本次测试所使用的测量设备</w:t>
      </w:r>
    </w:p>
    <w:p w14:paraId="79006A5E">
      <w:pPr>
        <w:spacing w:line="360" w:lineRule="auto"/>
        <w:ind w:firstLine="480" w:firstLineChars="200"/>
        <w:rPr>
          <w:sz w:val="24"/>
          <w:szCs w:val="24"/>
        </w:rPr>
      </w:pPr>
      <w:r>
        <w:rPr>
          <w:sz w:val="24"/>
          <w:szCs w:val="24"/>
        </w:rPr>
        <w:t>采用不确定度为</w:t>
      </w:r>
      <w:r>
        <w:rPr>
          <w:sz w:val="24"/>
          <w:szCs w:val="24"/>
          <w:shd w:val="clear" w:color="auto" w:fill="FFFFFF"/>
        </w:rPr>
        <w:t>±（0.03+0.5L）μm的</w:t>
      </w:r>
      <w:r>
        <w:rPr>
          <w:sz w:val="24"/>
          <w:szCs w:val="24"/>
        </w:rPr>
        <w:t>激光干涉仪对待测的光谱共焦传感器进行计量校准，测量设备技术指标如表</w:t>
      </w:r>
      <w:r>
        <w:rPr>
          <w:rFonts w:hint="eastAsia"/>
          <w:sz w:val="24"/>
          <w:szCs w:val="24"/>
        </w:rPr>
        <w:t>A.</w:t>
      </w:r>
      <w:r>
        <w:rPr>
          <w:sz w:val="24"/>
          <w:szCs w:val="24"/>
        </w:rPr>
        <w:t>1所示。</w:t>
      </w:r>
    </w:p>
    <w:p w14:paraId="1FFD8938">
      <w:pPr>
        <w:spacing w:line="360" w:lineRule="auto"/>
        <w:jc w:val="center"/>
        <w:rPr>
          <w:b/>
          <w:bCs/>
        </w:rPr>
      </w:pPr>
      <w:r>
        <w:rPr>
          <w:b/>
          <w:bCs/>
        </w:rPr>
        <w:t>表</w:t>
      </w:r>
      <w:r>
        <w:rPr>
          <w:rFonts w:hint="eastAsia"/>
          <w:b/>
          <w:bCs/>
        </w:rPr>
        <w:t>A.</w:t>
      </w:r>
      <w:r>
        <w:rPr>
          <w:b/>
          <w:bCs/>
        </w:rPr>
        <w:t>1</w:t>
      </w:r>
      <w:r>
        <w:rPr>
          <w:rFonts w:hint="eastAsia"/>
          <w:b/>
          <w:bCs/>
        </w:rPr>
        <w:t xml:space="preserve"> </w:t>
      </w:r>
      <w:r>
        <w:rPr>
          <w:b/>
          <w:bCs/>
        </w:rPr>
        <w:t>测量设备及参数指标</w:t>
      </w:r>
    </w:p>
    <w:tbl>
      <w:tblPr>
        <w:tblStyle w:val="68"/>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1"/>
        <w:gridCol w:w="1701"/>
        <w:gridCol w:w="1985"/>
        <w:gridCol w:w="3118"/>
      </w:tblGrid>
      <w:tr w14:paraId="04202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1701" w:type="dxa"/>
            <w:vAlign w:val="center"/>
          </w:tcPr>
          <w:p w14:paraId="5C85E091">
            <w:pPr>
              <w:pStyle w:val="69"/>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名称</w:t>
            </w:r>
          </w:p>
        </w:tc>
        <w:tc>
          <w:tcPr>
            <w:tcW w:w="1701" w:type="dxa"/>
            <w:vAlign w:val="center"/>
          </w:tcPr>
          <w:p w14:paraId="1704EF7F">
            <w:pPr>
              <w:pStyle w:val="69"/>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证书号</w:t>
            </w:r>
          </w:p>
        </w:tc>
        <w:tc>
          <w:tcPr>
            <w:tcW w:w="1985" w:type="dxa"/>
            <w:vAlign w:val="center"/>
          </w:tcPr>
          <w:p w14:paraId="3364A64A">
            <w:pPr>
              <w:pStyle w:val="69"/>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测量范围</w:t>
            </w:r>
          </w:p>
        </w:tc>
        <w:tc>
          <w:tcPr>
            <w:tcW w:w="3118" w:type="dxa"/>
            <w:vAlign w:val="center"/>
          </w:tcPr>
          <w:p w14:paraId="374C45D7">
            <w:pPr>
              <w:pStyle w:val="69"/>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不确定度或最大允许误差</w:t>
            </w:r>
          </w:p>
        </w:tc>
      </w:tr>
      <w:tr w14:paraId="340BC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jc w:val="center"/>
        </w:trPr>
        <w:tc>
          <w:tcPr>
            <w:tcW w:w="1701" w:type="dxa"/>
            <w:vAlign w:val="center"/>
          </w:tcPr>
          <w:p w14:paraId="6028ACBD">
            <w:pPr>
              <w:pStyle w:val="69"/>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激光干涉仪</w:t>
            </w:r>
          </w:p>
        </w:tc>
        <w:tc>
          <w:tcPr>
            <w:tcW w:w="1701" w:type="dxa"/>
            <w:vAlign w:val="center"/>
          </w:tcPr>
          <w:p w14:paraId="1377C07B">
            <w:pPr>
              <w:pStyle w:val="69"/>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747X57</w:t>
            </w:r>
          </w:p>
        </w:tc>
        <w:tc>
          <w:tcPr>
            <w:tcW w:w="1985" w:type="dxa"/>
            <w:vAlign w:val="center"/>
          </w:tcPr>
          <w:p w14:paraId="741FDEC9">
            <w:pPr>
              <w:pStyle w:val="69"/>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（0～10）m</w:t>
            </w:r>
          </w:p>
        </w:tc>
        <w:tc>
          <w:tcPr>
            <w:tcW w:w="3118" w:type="dxa"/>
            <w:vAlign w:val="center"/>
          </w:tcPr>
          <w:p w14:paraId="05B2B664">
            <w:pPr>
              <w:pStyle w:val="69"/>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shd w:val="clear" w:color="auto" w:fill="FFFFFF"/>
              </w:rPr>
              <w:t>±</w:t>
            </w:r>
            <w:r>
              <w:rPr>
                <w:rFonts w:ascii="Times New Roman" w:hAnsi="Times New Roman" w:eastAsia="宋体" w:cs="Times New Roman"/>
                <w:color w:val="auto"/>
                <w:sz w:val="21"/>
                <w:szCs w:val="21"/>
                <w:shd w:val="clear" w:color="auto" w:fill="FFFFFF"/>
                <w:lang w:eastAsia="zh-CN"/>
              </w:rPr>
              <w:t>（0.03+0.5L）μ</w:t>
            </w:r>
            <w:r>
              <w:rPr>
                <w:rFonts w:hint="eastAsia" w:ascii="Times New Roman" w:hAnsi="Times New Roman" w:eastAsia="宋体" w:cs="Times New Roman"/>
                <w:color w:val="auto"/>
                <w:sz w:val="21"/>
                <w:szCs w:val="21"/>
                <w:shd w:val="clear" w:color="auto" w:fill="FFFFFF"/>
                <w:lang w:eastAsia="zh-CN"/>
              </w:rPr>
              <w:t>m</w:t>
            </w:r>
          </w:p>
        </w:tc>
      </w:tr>
    </w:tbl>
    <w:p w14:paraId="37FAFF75">
      <w:pPr>
        <w:spacing w:before="312" w:beforeLines="100" w:line="360" w:lineRule="auto"/>
        <w:rPr>
          <w:b/>
          <w:bCs/>
          <w:sz w:val="24"/>
          <w:szCs w:val="24"/>
        </w:rPr>
      </w:pPr>
      <w:r>
        <w:rPr>
          <w:b/>
          <w:bCs/>
          <w:sz w:val="24"/>
          <w:szCs w:val="24"/>
        </w:rPr>
        <w:t>A.4测试环境要求</w:t>
      </w:r>
    </w:p>
    <w:p w14:paraId="3326FE60">
      <w:pPr>
        <w:pStyle w:val="56"/>
        <w:numPr>
          <w:ilvl w:val="0"/>
          <w:numId w:val="3"/>
        </w:numPr>
        <w:spacing w:line="360" w:lineRule="auto"/>
        <w:ind w:firstLineChars="0"/>
        <w:jc w:val="left"/>
        <w:rPr>
          <w:sz w:val="24"/>
          <w:szCs w:val="28"/>
        </w:rPr>
      </w:pPr>
      <w:r>
        <w:rPr>
          <w:sz w:val="24"/>
          <w:szCs w:val="28"/>
        </w:rPr>
        <w:t>环境温度、湿度在测试过程中保持稳定；</w:t>
      </w:r>
    </w:p>
    <w:p w14:paraId="79F97EAA">
      <w:pPr>
        <w:pStyle w:val="56"/>
        <w:numPr>
          <w:ilvl w:val="0"/>
          <w:numId w:val="3"/>
        </w:numPr>
        <w:spacing w:line="360" w:lineRule="auto"/>
        <w:ind w:firstLineChars="0"/>
        <w:jc w:val="left"/>
        <w:rPr>
          <w:sz w:val="24"/>
          <w:szCs w:val="28"/>
        </w:rPr>
      </w:pPr>
      <w:r>
        <w:rPr>
          <w:sz w:val="24"/>
          <w:szCs w:val="28"/>
        </w:rPr>
        <w:t>光照强度：500±50lux；</w:t>
      </w:r>
    </w:p>
    <w:p w14:paraId="26EBF377">
      <w:pPr>
        <w:pStyle w:val="56"/>
        <w:numPr>
          <w:ilvl w:val="0"/>
          <w:numId w:val="3"/>
        </w:numPr>
        <w:spacing w:line="360" w:lineRule="auto"/>
        <w:ind w:firstLineChars="0"/>
        <w:jc w:val="left"/>
        <w:rPr>
          <w:sz w:val="24"/>
          <w:szCs w:val="28"/>
        </w:rPr>
      </w:pPr>
      <w:r>
        <w:rPr>
          <w:sz w:val="24"/>
          <w:szCs w:val="28"/>
        </w:rPr>
        <w:t>测试环境中的污染、振动、电磁干扰等对测量结果无影响。</w:t>
      </w:r>
    </w:p>
    <w:p w14:paraId="44E7D64D">
      <w:pPr>
        <w:spacing w:before="312" w:beforeLines="100" w:line="360" w:lineRule="auto"/>
        <w:rPr>
          <w:b/>
          <w:bCs/>
          <w:sz w:val="24"/>
          <w:szCs w:val="24"/>
        </w:rPr>
      </w:pPr>
      <w:r>
        <w:rPr>
          <w:b/>
          <w:bCs/>
          <w:sz w:val="24"/>
          <w:szCs w:val="24"/>
        </w:rPr>
        <w:t>A.5现场验证测试方案</w:t>
      </w:r>
    </w:p>
    <w:p w14:paraId="0D15190C">
      <w:pPr>
        <w:spacing w:line="360" w:lineRule="auto"/>
        <w:ind w:firstLine="480" w:firstLineChars="200"/>
        <w:rPr>
          <w:sz w:val="24"/>
          <w:szCs w:val="28"/>
        </w:rPr>
      </w:pPr>
      <w:r>
        <w:rPr>
          <w:sz w:val="24"/>
          <w:szCs w:val="28"/>
        </w:rPr>
        <w:t>采用</w:t>
      </w:r>
      <w:r>
        <w:rPr>
          <w:sz w:val="24"/>
          <w:szCs w:val="24"/>
        </w:rPr>
        <w:t>测量不确定度为</w:t>
      </w:r>
      <w:r>
        <w:rPr>
          <w:sz w:val="24"/>
          <w:szCs w:val="24"/>
          <w:shd w:val="clear" w:color="auto" w:fill="FFFFFF"/>
        </w:rPr>
        <w:t>±（0.03+0.5L）μm的</w:t>
      </w:r>
      <w:r>
        <w:rPr>
          <w:sz w:val="24"/>
          <w:szCs w:val="28"/>
        </w:rPr>
        <w:t>激光干涉仪对该校准装置进行测试校准，具体测试方法如图1所示，具体步骤如下：</w:t>
      </w:r>
    </w:p>
    <w:p w14:paraId="7D6EA95D">
      <w:pPr>
        <w:spacing w:line="360" w:lineRule="auto"/>
        <w:ind w:firstLine="480" w:firstLineChars="200"/>
        <w:rPr>
          <w:sz w:val="24"/>
          <w:szCs w:val="24"/>
        </w:rPr>
      </w:pPr>
      <w:r>
        <w:rPr>
          <w:sz w:val="24"/>
          <w:szCs w:val="24"/>
        </w:rPr>
        <w:t>（1）将校准装置放置于移动工作台前，调整光谱共焦传感器的姿态使移动工作台行程覆盖在光谱共焦传感器的量程范围内，且光束与运动模块端面应保持垂直，并记录零点；</w:t>
      </w:r>
    </w:p>
    <w:p w14:paraId="196443FB">
      <w:pPr>
        <w:spacing w:line="360" w:lineRule="auto"/>
        <w:ind w:firstLine="480" w:firstLineChars="200"/>
        <w:rPr>
          <w:sz w:val="24"/>
          <w:szCs w:val="24"/>
        </w:rPr>
      </w:pPr>
      <w:r>
        <w:rPr>
          <w:sz w:val="24"/>
          <w:szCs w:val="24"/>
        </w:rPr>
        <w:t>（2）将激光干涉仪放置在光谱共焦传感器的同侧，调整激光干涉仪的姿态使得移动工作台行程覆盖在激光干涉仪的量程范围内，且激光束与运动模块端面应保持垂直，并记录零点；</w:t>
      </w:r>
    </w:p>
    <w:p w14:paraId="3690BCF1">
      <w:pPr>
        <w:spacing w:line="360" w:lineRule="auto"/>
        <w:ind w:firstLine="480" w:firstLineChars="200"/>
        <w:rPr>
          <w:sz w:val="24"/>
          <w:szCs w:val="24"/>
        </w:rPr>
      </w:pPr>
      <w:r>
        <w:rPr>
          <w:sz w:val="24"/>
          <w:szCs w:val="24"/>
        </w:rPr>
        <w:t>（3）驱动移动工作台作往复直线运动，分别记录激光干涉仪与光谱共焦传感器的测量值；</w:t>
      </w:r>
    </w:p>
    <w:p w14:paraId="69AD2B56">
      <w:pPr>
        <w:spacing w:line="360" w:lineRule="auto"/>
        <w:ind w:firstLine="480" w:firstLineChars="200"/>
        <w:rPr>
          <w:sz w:val="24"/>
          <w:szCs w:val="24"/>
        </w:rPr>
      </w:pPr>
      <w:r>
        <w:rPr>
          <w:sz w:val="24"/>
          <w:szCs w:val="24"/>
        </w:rPr>
        <w:t>（4）改变移动工作台的行程，并重复步骤（3），依次得到0-1mm范围内不同点位的参考值与实测值；</w:t>
      </w:r>
    </w:p>
    <w:p w14:paraId="33646E84">
      <w:pPr>
        <w:spacing w:line="360" w:lineRule="auto"/>
        <w:ind w:firstLine="480" w:firstLineChars="200"/>
        <w:rPr>
          <w:sz w:val="24"/>
          <w:szCs w:val="24"/>
        </w:rPr>
      </w:pPr>
      <w:r>
        <w:rPr>
          <w:sz w:val="24"/>
          <w:szCs w:val="24"/>
        </w:rPr>
        <w:t>（5）最后进行数据统计，按“实测值</w:t>
      </w:r>
      <w:r>
        <w:rPr>
          <w:rFonts w:hint="eastAsia"/>
          <w:sz w:val="24"/>
          <w:szCs w:val="24"/>
        </w:rPr>
        <w:t>-</w:t>
      </w:r>
      <w:r>
        <w:rPr>
          <w:sz w:val="24"/>
          <w:szCs w:val="24"/>
        </w:rPr>
        <w:t>参考值=示值误差”，得到0-1mm量程范围内，不同测量距离下的测量误差。</w:t>
      </w:r>
    </w:p>
    <w:p w14:paraId="2EF0837D">
      <w:pPr>
        <w:jc w:val="center"/>
        <w:rPr>
          <w:sz w:val="24"/>
          <w:szCs w:val="24"/>
        </w:rPr>
      </w:pPr>
      <w:r>
        <w:drawing>
          <wp:inline distT="0" distB="0" distL="0" distR="0">
            <wp:extent cx="4319905" cy="2014220"/>
            <wp:effectExtent l="0" t="0" r="0" b="0"/>
            <wp:docPr id="12398802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80213"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l="383" r="6"/>
                    <a:stretch>
                      <a:fillRect/>
                    </a:stretch>
                  </pic:blipFill>
                  <pic:spPr>
                    <a:xfrm>
                      <a:off x="0" y="0"/>
                      <a:ext cx="4320000" cy="2014626"/>
                    </a:xfrm>
                    <a:prstGeom prst="rect">
                      <a:avLst/>
                    </a:prstGeom>
                    <a:noFill/>
                    <a:ln>
                      <a:noFill/>
                    </a:ln>
                  </pic:spPr>
                </pic:pic>
              </a:graphicData>
            </a:graphic>
          </wp:inline>
        </w:drawing>
      </w:r>
    </w:p>
    <w:p w14:paraId="5BF11B77">
      <w:pPr>
        <w:jc w:val="center"/>
      </w:pPr>
      <w:r>
        <w:t>图1光谱共焦传感器校准方案</w:t>
      </w:r>
    </w:p>
    <w:p w14:paraId="4BB781E4">
      <w:pPr>
        <w:spacing w:before="312" w:beforeLines="100"/>
        <w:rPr>
          <w:b/>
          <w:bCs/>
          <w:sz w:val="24"/>
          <w:szCs w:val="24"/>
        </w:rPr>
      </w:pPr>
      <w:r>
        <w:rPr>
          <w:b/>
          <w:bCs/>
          <w:sz w:val="24"/>
          <w:szCs w:val="24"/>
        </w:rPr>
        <w:t>A.6测试结果</w:t>
      </w:r>
    </w:p>
    <w:p w14:paraId="59FEE39D">
      <w:pPr>
        <w:spacing w:line="360" w:lineRule="auto"/>
        <w:ind w:firstLine="480" w:firstLineChars="200"/>
        <w:rPr>
          <w:sz w:val="24"/>
          <w:szCs w:val="24"/>
        </w:rPr>
      </w:pPr>
      <w:r>
        <w:rPr>
          <w:sz w:val="24"/>
          <w:szCs w:val="24"/>
        </w:rPr>
        <w:t>基于现场验证测试方案，对光谱共焦传感器的</w:t>
      </w:r>
      <w:r>
        <w:rPr>
          <w:rFonts w:hint="eastAsia"/>
          <w:sz w:val="24"/>
          <w:szCs w:val="24"/>
        </w:rPr>
        <w:t>测试校准</w:t>
      </w:r>
      <w:r>
        <w:rPr>
          <w:sz w:val="24"/>
          <w:szCs w:val="24"/>
        </w:rPr>
        <w:t>结果如表A.</w:t>
      </w:r>
      <w:r>
        <w:rPr>
          <w:rFonts w:hint="eastAsia"/>
          <w:sz w:val="24"/>
          <w:szCs w:val="24"/>
        </w:rPr>
        <w:t>2</w:t>
      </w:r>
      <w:r>
        <w:rPr>
          <w:sz w:val="24"/>
          <w:szCs w:val="24"/>
        </w:rPr>
        <w:t>所示。</w:t>
      </w:r>
    </w:p>
    <w:p w14:paraId="226EEB6F">
      <w:pPr>
        <w:spacing w:line="360" w:lineRule="auto"/>
        <w:jc w:val="center"/>
        <w:rPr>
          <w:b/>
          <w:bCs/>
        </w:rPr>
      </w:pPr>
      <w:r>
        <w:rPr>
          <w:b/>
          <w:bCs/>
        </w:rPr>
        <w:t>表A.</w:t>
      </w:r>
      <w:r>
        <w:rPr>
          <w:rFonts w:hint="eastAsia"/>
          <w:b/>
          <w:bCs/>
        </w:rPr>
        <w:t>2</w:t>
      </w:r>
      <w:r>
        <w:rPr>
          <w:b/>
          <w:bCs/>
        </w:rPr>
        <w:t xml:space="preserve"> 0-1mm测试结果</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850"/>
        <w:gridCol w:w="851"/>
        <w:gridCol w:w="850"/>
        <w:gridCol w:w="794"/>
        <w:gridCol w:w="863"/>
        <w:gridCol w:w="863"/>
        <w:gridCol w:w="863"/>
        <w:gridCol w:w="863"/>
        <w:gridCol w:w="863"/>
      </w:tblGrid>
      <w:tr w14:paraId="7981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144ABC4C">
            <w:pPr>
              <w:jc w:val="center"/>
            </w:pPr>
            <w:r>
              <w:t>标准值（</w:t>
            </w:r>
            <w:r>
              <w:rPr>
                <w:sz w:val="24"/>
                <w:szCs w:val="24"/>
                <w:shd w:val="clear" w:color="auto" w:fill="FFFFFF"/>
              </w:rPr>
              <w:t>μm</w:t>
            </w:r>
            <w:r>
              <w:t>）</w:t>
            </w:r>
          </w:p>
        </w:tc>
        <w:tc>
          <w:tcPr>
            <w:tcW w:w="851" w:type="dxa"/>
            <w:vAlign w:val="center"/>
          </w:tcPr>
          <w:p w14:paraId="12266137">
            <w:pPr>
              <w:jc w:val="center"/>
            </w:pPr>
            <w:r>
              <w:t>1</w:t>
            </w:r>
          </w:p>
        </w:tc>
        <w:tc>
          <w:tcPr>
            <w:tcW w:w="850" w:type="dxa"/>
            <w:vAlign w:val="center"/>
          </w:tcPr>
          <w:p w14:paraId="656C37E5">
            <w:pPr>
              <w:jc w:val="center"/>
            </w:pPr>
            <w:r>
              <w:t>2</w:t>
            </w:r>
          </w:p>
        </w:tc>
        <w:tc>
          <w:tcPr>
            <w:tcW w:w="851" w:type="dxa"/>
            <w:vAlign w:val="center"/>
          </w:tcPr>
          <w:p w14:paraId="03A93FE2">
            <w:pPr>
              <w:jc w:val="center"/>
            </w:pPr>
            <w:r>
              <w:t>3</w:t>
            </w:r>
          </w:p>
        </w:tc>
        <w:tc>
          <w:tcPr>
            <w:tcW w:w="850" w:type="dxa"/>
            <w:vAlign w:val="center"/>
          </w:tcPr>
          <w:p w14:paraId="0F0485F7">
            <w:pPr>
              <w:jc w:val="center"/>
            </w:pPr>
            <w:r>
              <w:t>4</w:t>
            </w:r>
          </w:p>
        </w:tc>
        <w:tc>
          <w:tcPr>
            <w:tcW w:w="794" w:type="dxa"/>
            <w:vAlign w:val="center"/>
          </w:tcPr>
          <w:p w14:paraId="3B94056F">
            <w:pPr>
              <w:jc w:val="center"/>
            </w:pPr>
            <w:r>
              <w:t>5</w:t>
            </w:r>
          </w:p>
        </w:tc>
        <w:tc>
          <w:tcPr>
            <w:tcW w:w="863" w:type="dxa"/>
            <w:vAlign w:val="center"/>
          </w:tcPr>
          <w:p w14:paraId="38A14FB6">
            <w:pPr>
              <w:jc w:val="center"/>
            </w:pPr>
            <w:r>
              <w:t>6</w:t>
            </w:r>
          </w:p>
        </w:tc>
        <w:tc>
          <w:tcPr>
            <w:tcW w:w="863" w:type="dxa"/>
            <w:vAlign w:val="center"/>
          </w:tcPr>
          <w:p w14:paraId="1F7BD189">
            <w:pPr>
              <w:jc w:val="center"/>
            </w:pPr>
            <w:r>
              <w:t>7</w:t>
            </w:r>
          </w:p>
        </w:tc>
        <w:tc>
          <w:tcPr>
            <w:tcW w:w="863" w:type="dxa"/>
            <w:vAlign w:val="center"/>
          </w:tcPr>
          <w:p w14:paraId="6C223521">
            <w:pPr>
              <w:jc w:val="center"/>
            </w:pPr>
            <w:r>
              <w:t>8</w:t>
            </w:r>
          </w:p>
        </w:tc>
        <w:tc>
          <w:tcPr>
            <w:tcW w:w="863" w:type="dxa"/>
            <w:vAlign w:val="center"/>
          </w:tcPr>
          <w:p w14:paraId="775D3450">
            <w:pPr>
              <w:jc w:val="center"/>
            </w:pPr>
            <w:r>
              <w:t>9</w:t>
            </w:r>
          </w:p>
        </w:tc>
        <w:tc>
          <w:tcPr>
            <w:tcW w:w="863" w:type="dxa"/>
            <w:vAlign w:val="center"/>
          </w:tcPr>
          <w:p w14:paraId="4DACCEAF">
            <w:pPr>
              <w:jc w:val="center"/>
            </w:pPr>
            <w:r>
              <w:t>10</w:t>
            </w:r>
          </w:p>
        </w:tc>
      </w:tr>
      <w:tr w14:paraId="3CD4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29" w:type="dxa"/>
            <w:vAlign w:val="center"/>
          </w:tcPr>
          <w:p w14:paraId="0668EA41">
            <w:pPr>
              <w:jc w:val="center"/>
            </w:pPr>
            <w:r>
              <w:t>5</w:t>
            </w:r>
            <w:r>
              <w:rPr>
                <w:rFonts w:hint="eastAsia"/>
              </w:rPr>
              <w:t>00.00</w:t>
            </w:r>
          </w:p>
        </w:tc>
        <w:tc>
          <w:tcPr>
            <w:tcW w:w="851" w:type="dxa"/>
            <w:vAlign w:val="center"/>
          </w:tcPr>
          <w:p w14:paraId="01EF79B0">
            <w:pPr>
              <w:jc w:val="center"/>
            </w:pPr>
            <w:r>
              <w:t>499</w:t>
            </w:r>
            <w:r>
              <w:rPr>
                <w:rFonts w:hint="eastAsia"/>
              </w:rPr>
              <w:t>.</w:t>
            </w:r>
            <w:r>
              <w:t>0</w:t>
            </w:r>
            <w:r>
              <w:rPr>
                <w:rFonts w:hint="eastAsia"/>
              </w:rPr>
              <w:t>4</w:t>
            </w:r>
          </w:p>
        </w:tc>
        <w:tc>
          <w:tcPr>
            <w:tcW w:w="850" w:type="dxa"/>
            <w:vAlign w:val="center"/>
          </w:tcPr>
          <w:p w14:paraId="5B1BFFA5">
            <w:pPr>
              <w:jc w:val="center"/>
            </w:pPr>
            <w:r>
              <w:t>49</w:t>
            </w:r>
            <w:r>
              <w:rPr>
                <w:rFonts w:hint="eastAsia"/>
              </w:rPr>
              <w:t>8.</w:t>
            </w:r>
            <w:r>
              <w:t>5</w:t>
            </w:r>
            <w:r>
              <w:rPr>
                <w:rFonts w:hint="eastAsia"/>
              </w:rPr>
              <w:t>1</w:t>
            </w:r>
          </w:p>
        </w:tc>
        <w:tc>
          <w:tcPr>
            <w:tcW w:w="851" w:type="dxa"/>
            <w:vAlign w:val="center"/>
          </w:tcPr>
          <w:p w14:paraId="5C2B4B50">
            <w:pPr>
              <w:jc w:val="center"/>
            </w:pPr>
            <w:r>
              <w:t>50</w:t>
            </w:r>
            <w:r>
              <w:rPr>
                <w:rFonts w:hint="eastAsia"/>
              </w:rPr>
              <w:t>1.</w:t>
            </w:r>
            <w:r>
              <w:t>7</w:t>
            </w:r>
            <w:r>
              <w:rPr>
                <w:rFonts w:hint="eastAsia"/>
              </w:rPr>
              <w:t>1</w:t>
            </w:r>
          </w:p>
        </w:tc>
        <w:tc>
          <w:tcPr>
            <w:tcW w:w="850" w:type="dxa"/>
            <w:vAlign w:val="center"/>
          </w:tcPr>
          <w:p w14:paraId="03F51BE6">
            <w:pPr>
              <w:jc w:val="center"/>
            </w:pPr>
            <w:r>
              <w:t>50</w:t>
            </w:r>
            <w:r>
              <w:rPr>
                <w:rFonts w:hint="eastAsia"/>
              </w:rPr>
              <w:t>2.</w:t>
            </w:r>
            <w:r>
              <w:t>7</w:t>
            </w:r>
            <w:r>
              <w:rPr>
                <w:rFonts w:hint="eastAsia"/>
              </w:rPr>
              <w:t>4</w:t>
            </w:r>
          </w:p>
        </w:tc>
        <w:tc>
          <w:tcPr>
            <w:tcW w:w="794" w:type="dxa"/>
            <w:vAlign w:val="center"/>
          </w:tcPr>
          <w:p w14:paraId="6D3C063E">
            <w:pPr>
              <w:jc w:val="center"/>
            </w:pPr>
            <w:r>
              <w:t>50</w:t>
            </w:r>
            <w:r>
              <w:rPr>
                <w:rFonts w:hint="eastAsia"/>
              </w:rPr>
              <w:t>1.</w:t>
            </w:r>
            <w:r>
              <w:t>5</w:t>
            </w:r>
            <w:r>
              <w:rPr>
                <w:rFonts w:hint="eastAsia"/>
              </w:rPr>
              <w:t>2</w:t>
            </w:r>
          </w:p>
        </w:tc>
        <w:tc>
          <w:tcPr>
            <w:tcW w:w="863" w:type="dxa"/>
            <w:vAlign w:val="center"/>
          </w:tcPr>
          <w:p w14:paraId="32C86180">
            <w:pPr>
              <w:jc w:val="center"/>
            </w:pPr>
            <w:r>
              <w:t>49</w:t>
            </w:r>
            <w:r>
              <w:rPr>
                <w:rFonts w:hint="eastAsia"/>
              </w:rPr>
              <w:t>8.27</w:t>
            </w:r>
          </w:p>
        </w:tc>
        <w:tc>
          <w:tcPr>
            <w:tcW w:w="863" w:type="dxa"/>
            <w:vAlign w:val="center"/>
          </w:tcPr>
          <w:p w14:paraId="4C513168">
            <w:pPr>
              <w:jc w:val="center"/>
            </w:pPr>
            <w:r>
              <w:t>49</w:t>
            </w:r>
            <w:r>
              <w:rPr>
                <w:rFonts w:hint="eastAsia"/>
              </w:rPr>
              <w:t>8.</w:t>
            </w:r>
            <w:r>
              <w:t>4</w:t>
            </w:r>
            <w:r>
              <w:rPr>
                <w:rFonts w:hint="eastAsia"/>
              </w:rPr>
              <w:t>0</w:t>
            </w:r>
          </w:p>
        </w:tc>
        <w:tc>
          <w:tcPr>
            <w:tcW w:w="863" w:type="dxa"/>
            <w:vAlign w:val="center"/>
          </w:tcPr>
          <w:p w14:paraId="61E14EAD">
            <w:pPr>
              <w:jc w:val="center"/>
            </w:pPr>
            <w:r>
              <w:t>501</w:t>
            </w:r>
            <w:r>
              <w:rPr>
                <w:rFonts w:hint="eastAsia"/>
              </w:rPr>
              <w:t>.35</w:t>
            </w:r>
          </w:p>
        </w:tc>
        <w:tc>
          <w:tcPr>
            <w:tcW w:w="863" w:type="dxa"/>
            <w:vAlign w:val="center"/>
          </w:tcPr>
          <w:p w14:paraId="1B943245">
            <w:pPr>
              <w:jc w:val="center"/>
            </w:pPr>
            <w:r>
              <w:t>50</w:t>
            </w:r>
            <w:r>
              <w:rPr>
                <w:rFonts w:hint="eastAsia"/>
              </w:rPr>
              <w:t>1.86</w:t>
            </w:r>
          </w:p>
        </w:tc>
        <w:tc>
          <w:tcPr>
            <w:tcW w:w="863" w:type="dxa"/>
            <w:vAlign w:val="center"/>
          </w:tcPr>
          <w:p w14:paraId="1F59385E">
            <w:pPr>
              <w:jc w:val="center"/>
            </w:pPr>
            <w:r>
              <w:t>50</w:t>
            </w:r>
            <w:r>
              <w:rPr>
                <w:rFonts w:hint="eastAsia"/>
              </w:rPr>
              <w:t>1.58</w:t>
            </w:r>
          </w:p>
        </w:tc>
      </w:tr>
    </w:tbl>
    <w:p w14:paraId="1EBCD4A9">
      <w:pPr>
        <w:spacing w:before="312" w:beforeLines="100" w:line="360" w:lineRule="auto"/>
        <w:rPr>
          <w:b/>
          <w:bCs/>
          <w:sz w:val="24"/>
          <w:szCs w:val="24"/>
        </w:rPr>
      </w:pPr>
      <w:r>
        <w:rPr>
          <w:b/>
          <w:bCs/>
          <w:sz w:val="24"/>
          <w:szCs w:val="24"/>
        </w:rPr>
        <w:t>A.7不确定度评定</w:t>
      </w:r>
    </w:p>
    <w:p w14:paraId="4D3708FF">
      <w:pPr>
        <w:spacing w:before="156" w:beforeLines="50" w:line="360" w:lineRule="auto"/>
        <w:rPr>
          <w:rFonts w:eastAsia="仿宋"/>
          <w:sz w:val="24"/>
          <w:szCs w:val="24"/>
        </w:rPr>
      </w:pPr>
      <w:r>
        <w:rPr>
          <w:rFonts w:eastAsia="仿宋"/>
          <w:sz w:val="24"/>
          <w:szCs w:val="24"/>
        </w:rPr>
        <w:t>A.7.1不确定度来源分析</w:t>
      </w:r>
    </w:p>
    <w:p w14:paraId="536101EA">
      <w:pPr>
        <w:snapToGrid w:val="0"/>
        <w:spacing w:line="360" w:lineRule="auto"/>
        <w:ind w:firstLine="480" w:firstLineChars="200"/>
        <w:rPr>
          <w:sz w:val="24"/>
          <w:szCs w:val="24"/>
        </w:rPr>
      </w:pPr>
      <w:r>
        <w:rPr>
          <w:sz w:val="24"/>
          <w:szCs w:val="24"/>
        </w:rPr>
        <w:t>依次从被测对象、测量资源、环境条件等各方面对影响位移量直接测量值不确定度的来源进行分析，主要包括以下</w:t>
      </w:r>
      <w:r>
        <w:rPr>
          <w:rFonts w:hint="eastAsia"/>
          <w:sz w:val="24"/>
          <w:szCs w:val="24"/>
        </w:rPr>
        <w:t>6</w:t>
      </w:r>
      <w:r>
        <w:rPr>
          <w:sz w:val="24"/>
          <w:szCs w:val="24"/>
        </w:rPr>
        <w:t>个因素：</w:t>
      </w:r>
    </w:p>
    <w:p w14:paraId="4B9361B2">
      <w:pPr>
        <w:pStyle w:val="56"/>
        <w:numPr>
          <w:ilvl w:val="0"/>
          <w:numId w:val="4"/>
        </w:numPr>
        <w:snapToGrid w:val="0"/>
        <w:spacing w:line="360" w:lineRule="auto"/>
        <w:ind w:firstLineChars="0"/>
        <w:rPr>
          <w:sz w:val="24"/>
          <w:szCs w:val="24"/>
        </w:rPr>
      </w:pPr>
      <w:r>
        <w:rPr>
          <w:rFonts w:hint="eastAsia"/>
          <w:sz w:val="24"/>
          <w:szCs w:val="24"/>
        </w:rPr>
        <w:t>光谱共焦</w:t>
      </w:r>
      <w:r>
        <w:rPr>
          <w:sz w:val="24"/>
          <w:szCs w:val="24"/>
        </w:rPr>
        <w:t>位移传感器测量结果不准确；</w:t>
      </w:r>
    </w:p>
    <w:p w14:paraId="7017D4E2">
      <w:pPr>
        <w:pStyle w:val="56"/>
        <w:numPr>
          <w:ilvl w:val="0"/>
          <w:numId w:val="4"/>
        </w:numPr>
        <w:snapToGrid w:val="0"/>
        <w:spacing w:line="360" w:lineRule="auto"/>
        <w:ind w:firstLineChars="0"/>
        <w:rPr>
          <w:sz w:val="24"/>
          <w:szCs w:val="24"/>
        </w:rPr>
      </w:pPr>
      <w:r>
        <w:rPr>
          <w:sz w:val="24"/>
          <w:szCs w:val="24"/>
        </w:rPr>
        <w:t>标准激光干涉仪的测量不确定度；</w:t>
      </w:r>
    </w:p>
    <w:p w14:paraId="5D4EDF88">
      <w:pPr>
        <w:snapToGrid w:val="0"/>
        <w:spacing w:line="360" w:lineRule="auto"/>
        <w:ind w:firstLine="480" w:firstLineChars="200"/>
        <w:rPr>
          <w:sz w:val="24"/>
          <w:szCs w:val="24"/>
        </w:rPr>
      </w:pPr>
      <w:r>
        <w:rPr>
          <w:sz w:val="24"/>
          <w:szCs w:val="24"/>
        </w:rPr>
        <w:t>3）</w:t>
      </w:r>
      <w:r>
        <w:rPr>
          <w:rFonts w:hint="eastAsia"/>
          <w:sz w:val="24"/>
          <w:szCs w:val="24"/>
        </w:rPr>
        <w:t>光谱共焦</w:t>
      </w:r>
      <w:r>
        <w:rPr>
          <w:sz w:val="24"/>
          <w:szCs w:val="24"/>
        </w:rPr>
        <w:t>位移传感器分辨率不足；</w:t>
      </w:r>
    </w:p>
    <w:p w14:paraId="35E240F2">
      <w:pPr>
        <w:snapToGrid w:val="0"/>
        <w:spacing w:line="360" w:lineRule="auto"/>
        <w:ind w:firstLine="480" w:firstLineChars="200"/>
        <w:rPr>
          <w:sz w:val="24"/>
          <w:szCs w:val="24"/>
        </w:rPr>
      </w:pPr>
      <w:r>
        <w:rPr>
          <w:sz w:val="24"/>
          <w:szCs w:val="24"/>
        </w:rPr>
        <w:t>4）被测</w:t>
      </w:r>
      <w:r>
        <w:rPr>
          <w:rFonts w:hint="eastAsia"/>
          <w:sz w:val="24"/>
          <w:szCs w:val="24"/>
        </w:rPr>
        <w:t>移动样件</w:t>
      </w:r>
      <w:r>
        <w:rPr>
          <w:sz w:val="24"/>
          <w:szCs w:val="24"/>
        </w:rPr>
        <w:t>表面粗糙度、反光度等引起的位移传感器非接触式光学测量误差；</w:t>
      </w:r>
    </w:p>
    <w:p w14:paraId="43E243E7">
      <w:pPr>
        <w:snapToGrid w:val="0"/>
        <w:spacing w:line="360" w:lineRule="auto"/>
        <w:ind w:firstLine="480" w:firstLineChars="200"/>
        <w:rPr>
          <w:sz w:val="24"/>
          <w:szCs w:val="24"/>
        </w:rPr>
      </w:pPr>
      <w:r>
        <w:rPr>
          <w:sz w:val="24"/>
          <w:szCs w:val="24"/>
        </w:rPr>
        <w:t>5) 测试环境中温湿度变化、尘降、气流扰动、环境振动等引入的误差；</w:t>
      </w:r>
    </w:p>
    <w:p w14:paraId="5A53D367">
      <w:pPr>
        <w:snapToGrid w:val="0"/>
        <w:spacing w:line="360" w:lineRule="auto"/>
        <w:ind w:firstLine="480" w:firstLineChars="200"/>
        <w:rPr>
          <w:sz w:val="24"/>
          <w:szCs w:val="24"/>
        </w:rPr>
      </w:pPr>
      <w:r>
        <w:rPr>
          <w:sz w:val="24"/>
          <w:szCs w:val="24"/>
        </w:rPr>
        <w:t>6）重复测量多次引入的误差；</w:t>
      </w:r>
    </w:p>
    <w:p w14:paraId="5CE1F221">
      <w:pPr>
        <w:snapToGrid w:val="0"/>
        <w:spacing w:line="360" w:lineRule="auto"/>
        <w:ind w:firstLine="480" w:firstLineChars="200"/>
        <w:rPr>
          <w:sz w:val="24"/>
          <w:szCs w:val="24"/>
        </w:rPr>
      </w:pPr>
      <w:r>
        <w:rPr>
          <w:sz w:val="24"/>
          <w:szCs w:val="24"/>
        </w:rPr>
        <w:t>对上述6个影响</w:t>
      </w:r>
      <w:r>
        <w:rPr>
          <w:rFonts w:hint="eastAsia"/>
          <w:sz w:val="24"/>
          <w:szCs w:val="24"/>
        </w:rPr>
        <w:t>位移</w:t>
      </w:r>
      <w:r>
        <w:rPr>
          <w:sz w:val="24"/>
          <w:szCs w:val="24"/>
        </w:rPr>
        <w:t>测量准确性的因素进行分析：其中“1）与2）的位移传感器测量不准确与标准激光干涉仪的测量不确定度”引起的误差无法忽略，且影响较大，需要对其引入的不确定分量进行评定；“3）位移传感器分辨率不足”、“4）被测</w:t>
      </w:r>
      <w:r>
        <w:rPr>
          <w:rFonts w:hint="eastAsia"/>
          <w:sz w:val="24"/>
          <w:szCs w:val="24"/>
        </w:rPr>
        <w:t>移动样件</w:t>
      </w:r>
      <w:r>
        <w:rPr>
          <w:sz w:val="24"/>
          <w:szCs w:val="24"/>
        </w:rPr>
        <w:t>材料表面质量”、</w:t>
      </w:r>
      <w:r>
        <w:rPr>
          <w:rFonts w:hint="eastAsia"/>
          <w:sz w:val="24"/>
          <w:szCs w:val="24"/>
        </w:rPr>
        <w:t>以及</w:t>
      </w:r>
      <w:r>
        <w:rPr>
          <w:sz w:val="24"/>
          <w:szCs w:val="24"/>
        </w:rPr>
        <w:t>“5）中测试环境引起的光学测量误差”等因素引起的测量误差均有一定影响、无法忽略，但能通过6）多次测量的重复性引入的误差来进行综合反映，需要对其引入的不确定分量进行评定。</w:t>
      </w:r>
    </w:p>
    <w:p w14:paraId="6312C26A">
      <w:pPr>
        <w:snapToGrid w:val="0"/>
        <w:spacing w:line="360" w:lineRule="auto"/>
        <w:ind w:firstLine="480" w:firstLineChars="200"/>
        <w:rPr>
          <w:sz w:val="24"/>
          <w:szCs w:val="24"/>
        </w:rPr>
      </w:pPr>
      <w:r>
        <w:rPr>
          <w:sz w:val="24"/>
          <w:szCs w:val="24"/>
        </w:rPr>
        <w:t>因此，可以列出影响切向力测量不确定的来源，分别记为</w:t>
      </w:r>
      <m:oMath>
        <m:sSub>
          <m:sSubPr>
            <m:ctrlPr>
              <w:rPr>
                <w:rStyle w:val="23"/>
                <w:rFonts w:ascii="Cambria Math" w:hAnsi="Cambria Math"/>
                <w:i/>
                <w:szCs w:val="20"/>
              </w:rPr>
            </m:ctrlPr>
          </m:sSubPr>
          <m:e>
            <m:r>
              <m:rPr/>
              <w:rPr>
                <w:rStyle w:val="23"/>
                <w:rFonts w:ascii="Cambria Math" w:hAnsi="Cambria Math"/>
                <w:szCs w:val="20"/>
              </w:rPr>
              <m:t>u</m:t>
            </m:r>
            <m:ctrlPr>
              <w:rPr>
                <w:rStyle w:val="23"/>
                <w:rFonts w:ascii="Cambria Math" w:hAnsi="Cambria Math"/>
                <w:i/>
                <w:szCs w:val="20"/>
              </w:rPr>
            </m:ctrlPr>
          </m:e>
          <m:sub>
            <m:r>
              <m:rPr/>
              <w:rPr>
                <w:rStyle w:val="23"/>
                <w:rFonts w:ascii="Cambria Math" w:hAnsi="Cambria Math"/>
                <w:szCs w:val="20"/>
              </w:rPr>
              <m:t>d0</m:t>
            </m:r>
            <m:ctrlPr>
              <w:rPr>
                <w:rStyle w:val="23"/>
                <w:rFonts w:ascii="Cambria Math" w:hAnsi="Cambria Math"/>
                <w:i/>
                <w:szCs w:val="20"/>
              </w:rPr>
            </m:ctrlPr>
          </m:sub>
        </m:sSub>
      </m:oMath>
      <w:r>
        <w:rPr>
          <w:sz w:val="24"/>
          <w:szCs w:val="24"/>
        </w:rPr>
        <w:t>和</w:t>
      </w:r>
      <m:oMath>
        <m:sSub>
          <m:sSubPr>
            <m:ctrlPr>
              <w:rPr>
                <w:rStyle w:val="23"/>
                <w:rFonts w:ascii="Cambria Math" w:hAnsi="Cambria Math"/>
                <w:i/>
                <w:szCs w:val="20"/>
              </w:rPr>
            </m:ctrlPr>
          </m:sSubPr>
          <m:e>
            <m:r>
              <m:rPr/>
              <w:rPr>
                <w:rStyle w:val="23"/>
                <w:rFonts w:ascii="Cambria Math" w:hAnsi="Cambria Math"/>
                <w:szCs w:val="20"/>
              </w:rPr>
              <m:t>u</m:t>
            </m:r>
            <m:ctrlPr>
              <w:rPr>
                <w:rStyle w:val="23"/>
                <w:rFonts w:ascii="Cambria Math" w:hAnsi="Cambria Math"/>
                <w:i/>
                <w:szCs w:val="20"/>
              </w:rPr>
            </m:ctrlPr>
          </m:e>
          <m:sub>
            <m:r>
              <m:rPr/>
              <w:rPr>
                <w:rStyle w:val="23"/>
                <w:rFonts w:ascii="Cambria Math" w:hAnsi="Cambria Math"/>
                <w:szCs w:val="20"/>
              </w:rPr>
              <m:t>drep</m:t>
            </m:r>
            <m:ctrlPr>
              <w:rPr>
                <w:rStyle w:val="23"/>
                <w:rFonts w:ascii="Cambria Math" w:hAnsi="Cambria Math"/>
                <w:i/>
                <w:szCs w:val="20"/>
              </w:rPr>
            </m:ctrlPr>
          </m:sub>
        </m:sSub>
      </m:oMath>
      <w:r>
        <w:rPr>
          <w:sz w:val="24"/>
          <w:szCs w:val="24"/>
        </w:rPr>
        <w:t>。</w:t>
      </w:r>
    </w:p>
    <w:p w14:paraId="61B941F6">
      <w:pPr>
        <w:snapToGrid w:val="0"/>
        <w:spacing w:line="360" w:lineRule="auto"/>
        <w:ind w:firstLine="480" w:firstLineChars="200"/>
        <w:rPr>
          <w:rFonts w:hint="eastAsia" w:ascii="宋体" w:hAnsi="宋体"/>
          <w:b/>
          <w:bCs/>
          <w:sz w:val="24"/>
          <w:szCs w:val="24"/>
        </w:rPr>
      </w:pPr>
      <w:r>
        <w:rPr>
          <w:rFonts w:ascii="宋体" w:hAnsi="宋体" w:cs="Cambria Math"/>
          <w:b/>
          <w:bCs/>
          <w:sz w:val="24"/>
          <w:szCs w:val="24"/>
        </w:rPr>
        <w:t>①</w:t>
      </w:r>
      <w:r>
        <w:rPr>
          <w:rFonts w:hint="eastAsia" w:ascii="宋体" w:hAnsi="宋体" w:cs="Cambria Math"/>
          <w:b/>
          <w:bCs/>
          <w:sz w:val="24"/>
          <w:szCs w:val="24"/>
        </w:rPr>
        <w:t xml:space="preserve"> </w:t>
      </w:r>
      <w:r>
        <w:rPr>
          <w:rFonts w:ascii="宋体" w:hAnsi="宋体"/>
          <w:b/>
          <w:bCs/>
          <w:sz w:val="24"/>
          <w:szCs w:val="24"/>
        </w:rPr>
        <w:t>光谱共焦传感器的示值误差（</w:t>
      </w:r>
      <m:oMath>
        <m:sSub>
          <m:sSubPr>
            <m:ctrlPr>
              <w:rPr>
                <w:rStyle w:val="23"/>
                <w:rFonts w:ascii="Cambria Math" w:hAnsi="Cambria Math"/>
                <w:b/>
                <w:bCs/>
                <w:i/>
                <w:szCs w:val="20"/>
              </w:rPr>
            </m:ctrlPr>
          </m:sSubPr>
          <m:e>
            <m:r>
              <m:rPr>
                <m:sty m:val="bi"/>
              </m:rPr>
              <w:rPr>
                <w:rStyle w:val="23"/>
                <w:rFonts w:ascii="Cambria Math" w:hAnsi="Cambria Math"/>
                <w:szCs w:val="20"/>
              </w:rPr>
              <m:t>u</m:t>
            </m:r>
            <m:ctrlPr>
              <w:rPr>
                <w:rStyle w:val="23"/>
                <w:rFonts w:ascii="Cambria Math" w:hAnsi="Cambria Math"/>
                <w:b/>
                <w:bCs/>
                <w:i/>
                <w:szCs w:val="20"/>
              </w:rPr>
            </m:ctrlPr>
          </m:e>
          <m:sub>
            <m:r>
              <m:rPr>
                <m:sty m:val="bi"/>
              </m:rPr>
              <w:rPr>
                <w:rStyle w:val="23"/>
                <w:rFonts w:ascii="Cambria Math" w:hAnsi="Cambria Math"/>
                <w:szCs w:val="20"/>
              </w:rPr>
              <m:t>d0</m:t>
            </m:r>
            <m:ctrlPr>
              <w:rPr>
                <w:rStyle w:val="23"/>
                <w:rFonts w:ascii="Cambria Math" w:hAnsi="Cambria Math"/>
                <w:b/>
                <w:bCs/>
                <w:i/>
                <w:szCs w:val="20"/>
              </w:rPr>
            </m:ctrlPr>
          </m:sub>
        </m:sSub>
      </m:oMath>
      <w:r>
        <w:rPr>
          <w:rFonts w:ascii="宋体" w:hAnsi="宋体"/>
          <w:b/>
          <w:bCs/>
          <w:sz w:val="24"/>
          <w:szCs w:val="24"/>
        </w:rPr>
        <w:t>）；</w:t>
      </w:r>
    </w:p>
    <w:p w14:paraId="1B2451F6">
      <w:pPr>
        <w:snapToGrid w:val="0"/>
        <w:spacing w:line="360" w:lineRule="auto"/>
        <w:ind w:firstLine="480" w:firstLineChars="200"/>
        <w:rPr>
          <w:rFonts w:hint="eastAsia" w:ascii="宋体" w:hAnsi="宋体"/>
          <w:b/>
          <w:bCs/>
          <w:sz w:val="24"/>
          <w:szCs w:val="24"/>
        </w:rPr>
      </w:pPr>
      <w:r>
        <w:rPr>
          <w:rFonts w:ascii="宋体" w:hAnsi="宋体" w:cs="Cambria Math"/>
          <w:b/>
          <w:bCs/>
          <w:sz w:val="24"/>
          <w:szCs w:val="24"/>
        </w:rPr>
        <w:t>②</w:t>
      </w:r>
      <w:r>
        <w:rPr>
          <w:rFonts w:hint="eastAsia" w:ascii="宋体" w:hAnsi="宋体" w:cs="Cambria Math"/>
          <w:b/>
          <w:bCs/>
          <w:sz w:val="24"/>
          <w:szCs w:val="24"/>
        </w:rPr>
        <w:t xml:space="preserve"> </w:t>
      </w:r>
      <w:r>
        <w:rPr>
          <w:rFonts w:ascii="宋体" w:hAnsi="宋体"/>
          <w:b/>
          <w:bCs/>
          <w:sz w:val="24"/>
          <w:szCs w:val="24"/>
        </w:rPr>
        <w:t>各种随机因素影响导致的测量重复性（</w:t>
      </w:r>
      <m:oMath>
        <m:sSub>
          <m:sSubPr>
            <m:ctrlPr>
              <w:rPr>
                <w:rStyle w:val="23"/>
                <w:rFonts w:ascii="Cambria Math" w:hAnsi="Cambria Math"/>
                <w:b/>
                <w:bCs/>
                <w:i/>
                <w:szCs w:val="20"/>
              </w:rPr>
            </m:ctrlPr>
          </m:sSubPr>
          <m:e>
            <m:r>
              <m:rPr>
                <m:sty m:val="bi"/>
              </m:rPr>
              <w:rPr>
                <w:rStyle w:val="23"/>
                <w:rFonts w:ascii="Cambria Math" w:hAnsi="Cambria Math"/>
                <w:szCs w:val="20"/>
              </w:rPr>
              <m:t>u</m:t>
            </m:r>
            <m:ctrlPr>
              <w:rPr>
                <w:rStyle w:val="23"/>
                <w:rFonts w:ascii="Cambria Math" w:hAnsi="Cambria Math"/>
                <w:b/>
                <w:bCs/>
                <w:i/>
                <w:szCs w:val="20"/>
              </w:rPr>
            </m:ctrlPr>
          </m:e>
          <m:sub>
            <m:r>
              <m:rPr>
                <m:sty m:val="bi"/>
              </m:rPr>
              <w:rPr>
                <w:rStyle w:val="23"/>
                <w:rFonts w:ascii="Cambria Math" w:hAnsi="Cambria Math"/>
                <w:szCs w:val="20"/>
              </w:rPr>
              <m:t>drep</m:t>
            </m:r>
            <m:ctrlPr>
              <w:rPr>
                <w:rStyle w:val="23"/>
                <w:rFonts w:ascii="Cambria Math" w:hAnsi="Cambria Math"/>
                <w:b/>
                <w:bCs/>
                <w:i/>
                <w:szCs w:val="20"/>
              </w:rPr>
            </m:ctrlPr>
          </m:sub>
        </m:sSub>
      </m:oMath>
      <w:r>
        <w:rPr>
          <w:rFonts w:ascii="宋体" w:hAnsi="宋体"/>
          <w:b/>
          <w:bCs/>
          <w:sz w:val="24"/>
          <w:szCs w:val="24"/>
        </w:rPr>
        <w:t>）；</w:t>
      </w:r>
    </w:p>
    <w:p w14:paraId="5B690ACE">
      <w:pPr>
        <w:snapToGrid w:val="0"/>
        <w:spacing w:line="360" w:lineRule="auto"/>
        <w:ind w:firstLine="480" w:firstLineChars="200"/>
        <w:rPr>
          <w:sz w:val="24"/>
          <w:szCs w:val="24"/>
        </w:rPr>
      </w:pPr>
      <w:r>
        <w:rPr>
          <w:sz w:val="24"/>
          <w:szCs w:val="24"/>
        </w:rPr>
        <w:t>其中，测量仪器的示值误差（</w:t>
      </w:r>
      <w:r>
        <w:rPr>
          <w:i/>
          <w:iCs/>
          <w:sz w:val="24"/>
          <w:szCs w:val="24"/>
        </w:rPr>
        <w:t>u</w:t>
      </w:r>
      <w:r>
        <w:rPr>
          <w:sz w:val="24"/>
          <w:szCs w:val="24"/>
          <w:vertAlign w:val="subscript"/>
        </w:rPr>
        <w:t>d0</w:t>
      </w:r>
      <w:r>
        <w:rPr>
          <w:sz w:val="24"/>
          <w:szCs w:val="24"/>
        </w:rPr>
        <w:t>）可基于测量不确定度为</w:t>
      </w:r>
      <w:r>
        <w:rPr>
          <w:sz w:val="24"/>
          <w:szCs w:val="24"/>
          <w:shd w:val="clear" w:color="auto" w:fill="FFFFFF"/>
        </w:rPr>
        <w:t>±（0.03+0.5L）μm的</w:t>
      </w:r>
      <w:r>
        <w:rPr>
          <w:sz w:val="24"/>
          <w:szCs w:val="28"/>
        </w:rPr>
        <w:t>激光干涉仪对光谱共焦传感器的测试校准结果得到</w:t>
      </w:r>
      <w:r>
        <w:rPr>
          <w:sz w:val="24"/>
          <w:szCs w:val="24"/>
        </w:rPr>
        <w:t>，而各种随机影响因素引起的测量重复性不确定度分量则需要后续通过A类评定法实测并计算得到。</w:t>
      </w:r>
    </w:p>
    <w:p w14:paraId="67D062C4">
      <w:pPr>
        <w:spacing w:before="156" w:beforeLines="50" w:line="360" w:lineRule="auto"/>
        <w:rPr>
          <w:rFonts w:eastAsia="仿宋"/>
          <w:sz w:val="24"/>
          <w:szCs w:val="24"/>
        </w:rPr>
      </w:pPr>
      <w:r>
        <w:rPr>
          <w:rFonts w:eastAsia="仿宋"/>
          <w:sz w:val="24"/>
          <w:szCs w:val="24"/>
        </w:rPr>
        <w:t>A.7.2光谱共焦传感器不确定度分量</w:t>
      </w:r>
    </w:p>
    <w:p w14:paraId="4069E28D">
      <w:pPr>
        <w:spacing w:line="360" w:lineRule="auto"/>
        <w:ind w:firstLine="480" w:firstLineChars="200"/>
        <w:rPr>
          <w:rStyle w:val="23"/>
          <w:rFonts w:ascii="Times New Roman" w:hAnsi="Times New Roman"/>
          <w:szCs w:val="20"/>
        </w:rPr>
      </w:pPr>
      <w:r>
        <w:rPr>
          <w:rStyle w:val="23"/>
          <w:rFonts w:ascii="Times New Roman" w:hAnsi="Times New Roman"/>
          <w:szCs w:val="20"/>
        </w:rPr>
        <w:t>设本次待测</w:t>
      </w:r>
      <w:r>
        <w:rPr>
          <w:sz w:val="24"/>
          <w:szCs w:val="24"/>
        </w:rPr>
        <w:t>ConfocalDT</w:t>
      </w:r>
      <w:r>
        <w:rPr>
          <w:rStyle w:val="23"/>
          <w:rFonts w:ascii="Times New Roman" w:hAnsi="Times New Roman"/>
          <w:szCs w:val="20"/>
        </w:rPr>
        <w:t>2405-1型光谱共焦传感器的测量不确定度为</w:t>
      </w:r>
      <m:oMath>
        <m:sSub>
          <m:sSubPr>
            <m:ctrlPr>
              <w:rPr>
                <w:rStyle w:val="23"/>
                <w:rFonts w:ascii="Cambria Math" w:hAnsi="Cambria Math"/>
                <w:i/>
                <w:szCs w:val="20"/>
              </w:rPr>
            </m:ctrlPr>
          </m:sSubPr>
          <m:e>
            <m:r>
              <m:rPr/>
              <w:rPr>
                <w:rStyle w:val="23"/>
                <w:rFonts w:ascii="Cambria Math" w:hAnsi="Cambria Math"/>
                <w:szCs w:val="20"/>
              </w:rPr>
              <m:t>u</m:t>
            </m:r>
            <m:ctrlPr>
              <w:rPr>
                <w:rStyle w:val="23"/>
                <w:rFonts w:ascii="Cambria Math" w:hAnsi="Cambria Math"/>
                <w:i/>
                <w:szCs w:val="20"/>
              </w:rPr>
            </m:ctrlPr>
          </m:e>
          <m:sub>
            <m:r>
              <m:rPr/>
              <w:rPr>
                <w:rStyle w:val="23"/>
                <w:rFonts w:ascii="Cambria Math" w:hAnsi="Cambria Math"/>
                <w:szCs w:val="20"/>
              </w:rPr>
              <m:t>d0</m:t>
            </m:r>
            <m:ctrlPr>
              <w:rPr>
                <w:rStyle w:val="23"/>
                <w:rFonts w:ascii="Cambria Math" w:hAnsi="Cambria Math"/>
                <w:i/>
                <w:szCs w:val="20"/>
              </w:rPr>
            </m:ctrlPr>
          </m:sub>
        </m:sSub>
      </m:oMath>
      <w:r>
        <w:rPr>
          <w:rStyle w:val="23"/>
          <w:rFonts w:ascii="Times New Roman" w:hAnsi="Times New Roman"/>
          <w:szCs w:val="20"/>
        </w:rPr>
        <w:t>，</w:t>
      </w:r>
      <w:r>
        <w:rPr>
          <w:sz w:val="24"/>
          <w:szCs w:val="24"/>
        </w:rPr>
        <w:t>采用</w:t>
      </w:r>
      <w:r>
        <w:rPr>
          <w:rStyle w:val="23"/>
          <w:rFonts w:ascii="Times New Roman" w:hAnsi="Times New Roman"/>
          <w:szCs w:val="20"/>
        </w:rPr>
        <w:t>A类评定法，</w:t>
      </w:r>
      <w:r>
        <w:rPr>
          <w:sz w:val="24"/>
          <w:szCs w:val="24"/>
        </w:rPr>
        <w:t>通过对测量数据的统计分析来评定不确定度。基于表2中</w:t>
      </w:r>
      <w:r>
        <w:rPr>
          <w:rStyle w:val="23"/>
          <w:rFonts w:ascii="Times New Roman" w:hAnsi="Times New Roman"/>
          <w:szCs w:val="20"/>
        </w:rPr>
        <w:t>对同一被测量独立重复观测得到的</w:t>
      </w:r>
      <w:r>
        <w:rPr>
          <w:rStyle w:val="23"/>
          <w:rFonts w:ascii="Times New Roman" w:hAnsi="Times New Roman"/>
          <w:i/>
          <w:iCs/>
          <w:szCs w:val="20"/>
        </w:rPr>
        <w:t>n</w:t>
      </w:r>
      <w:r>
        <w:rPr>
          <w:rStyle w:val="23"/>
          <w:rFonts w:ascii="Times New Roman" w:hAnsi="Times New Roman"/>
          <w:szCs w:val="20"/>
        </w:rPr>
        <w:t>个测得值，被测量X的最佳估计值是</w:t>
      </w:r>
      <w:r>
        <w:rPr>
          <w:rStyle w:val="23"/>
          <w:rFonts w:ascii="Times New Roman" w:hAnsi="Times New Roman"/>
          <w:i/>
          <w:iCs/>
          <w:szCs w:val="20"/>
        </w:rPr>
        <w:t>n</w:t>
      </w:r>
      <w:r>
        <w:rPr>
          <w:rStyle w:val="23"/>
          <w:rFonts w:ascii="Times New Roman" w:hAnsi="Times New Roman"/>
          <w:szCs w:val="20"/>
        </w:rPr>
        <w:t>个独立测得值的算术平均值</w:t>
      </w:r>
      <m:oMath>
        <m:acc>
          <m:accPr>
            <m:chr m:val="̅"/>
            <m:ctrlPr>
              <w:rPr>
                <w:rStyle w:val="23"/>
                <w:rFonts w:ascii="Cambria Math" w:hAnsi="Cambria Math"/>
                <w:szCs w:val="20"/>
              </w:rPr>
            </m:ctrlPr>
          </m:accPr>
          <m:e>
            <m:r>
              <m:rPr/>
              <w:rPr>
                <w:rStyle w:val="23"/>
                <w:rFonts w:ascii="Cambria Math" w:hAnsi="Cambria Math"/>
                <w:szCs w:val="20"/>
              </w:rPr>
              <m:t>x</m:t>
            </m:r>
            <m:ctrlPr>
              <w:rPr>
                <w:rStyle w:val="23"/>
                <w:rFonts w:ascii="Cambria Math" w:hAnsi="Cambria Math"/>
                <w:szCs w:val="20"/>
              </w:rPr>
            </m:ctrlPr>
          </m:e>
        </m:acc>
      </m:oMath>
      <w:r>
        <w:rPr>
          <w:rStyle w:val="23"/>
          <w:rFonts w:ascii="Times New Roman" w:hAnsi="Times New Roman"/>
          <w:szCs w:val="20"/>
        </w:rPr>
        <w:t>，按公式（1）计算：</w:t>
      </w:r>
    </w:p>
    <w:p w14:paraId="392523E6">
      <w:pPr>
        <w:tabs>
          <w:tab w:val="center" w:pos="4150"/>
          <w:tab w:val="right" w:pos="10104"/>
        </w:tabs>
        <w:spacing w:line="360" w:lineRule="auto"/>
        <w:ind w:firstLine="480" w:firstLineChars="200"/>
        <w:jc w:val="center"/>
        <w:rPr>
          <w:rStyle w:val="23"/>
          <w:rFonts w:ascii="Times New Roman" w:hAnsi="Times New Roman"/>
          <w:szCs w:val="20"/>
        </w:rPr>
      </w:pPr>
      <w:r>
        <w:rPr>
          <w:rStyle w:val="23"/>
          <w:rFonts w:ascii="Times New Roman" w:hAnsi="Times New Roman"/>
          <w:szCs w:val="20"/>
        </w:rPr>
        <w:tab/>
      </w:r>
      <m:oMath>
        <m:acc>
          <m:accPr>
            <m:chr m:val="̅"/>
            <m:ctrlPr>
              <w:rPr>
                <w:rStyle w:val="23"/>
                <w:rFonts w:ascii="Cambria Math" w:hAnsi="Cambria Math"/>
                <w:szCs w:val="20"/>
              </w:rPr>
            </m:ctrlPr>
          </m:accPr>
          <m:e>
            <m:r>
              <m:rPr/>
              <w:rPr>
                <w:rStyle w:val="23"/>
                <w:rFonts w:ascii="Cambria Math" w:hAnsi="Cambria Math"/>
                <w:szCs w:val="20"/>
              </w:rPr>
              <m:t>x</m:t>
            </m:r>
            <m:ctrlPr>
              <w:rPr>
                <w:rStyle w:val="23"/>
                <w:rFonts w:ascii="Cambria Math" w:hAnsi="Cambria Math"/>
                <w:szCs w:val="20"/>
              </w:rPr>
            </m:ctrlPr>
          </m:e>
        </m:acc>
        <m:r>
          <m:rPr>
            <m:sty m:val="p"/>
          </m:rPr>
          <w:rPr>
            <w:rStyle w:val="23"/>
            <w:rFonts w:ascii="Cambria Math" w:hAnsi="Cambria Math"/>
            <w:szCs w:val="20"/>
          </w:rPr>
          <m:t>=</m:t>
        </m:r>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i</m:t>
                </m:r>
                <m:ctrlPr>
                  <w:rPr>
                    <w:rStyle w:val="23"/>
                    <w:rFonts w:ascii="Cambria Math" w:hAnsi="Cambria Math"/>
                    <w:szCs w:val="20"/>
                  </w:rPr>
                </m:ctrlPr>
              </m:sub>
            </m:sSub>
            <m:ctrlPr>
              <w:rPr>
                <w:rStyle w:val="23"/>
                <w:rFonts w:ascii="Cambria Math" w:hAnsi="Cambria Math"/>
                <w:szCs w:val="20"/>
              </w:rPr>
            </m:ctrlPr>
          </m:e>
        </m:nary>
      </m:oMath>
      <w:r>
        <w:rPr>
          <w:rStyle w:val="23"/>
          <w:rFonts w:ascii="Times New Roman" w:hAnsi="Times New Roman"/>
          <w:szCs w:val="20"/>
        </w:rPr>
        <w:tab/>
      </w:r>
      <w:r>
        <w:rPr>
          <w:rStyle w:val="23"/>
          <w:rFonts w:ascii="Times New Roman" w:hAnsi="Times New Roman"/>
          <w:szCs w:val="20"/>
        </w:rPr>
        <w:t>（1）</w:t>
      </w:r>
    </w:p>
    <w:p w14:paraId="60DEFEE0">
      <w:pPr>
        <w:spacing w:line="360" w:lineRule="auto"/>
        <w:ind w:firstLine="480" w:firstLineChars="200"/>
        <w:rPr>
          <w:rStyle w:val="23"/>
          <w:rFonts w:ascii="Times New Roman" w:hAnsi="Times New Roman"/>
          <w:szCs w:val="20"/>
        </w:rPr>
      </w:pPr>
      <w:r>
        <w:rPr>
          <w:rStyle w:val="23"/>
          <w:rFonts w:ascii="Times New Roman" w:hAnsi="Times New Roman"/>
          <w:szCs w:val="20"/>
        </w:rPr>
        <w:t>根据公式（2），单个测得值x的实验方差</w:t>
      </w:r>
      <m:oMath>
        <m:sSup>
          <m:sSupPr>
            <m:ctrlPr>
              <w:rPr>
                <w:rStyle w:val="23"/>
                <w:rFonts w:ascii="Cambria Math" w:hAnsi="Cambria Math"/>
                <w:szCs w:val="20"/>
              </w:rPr>
            </m:ctrlPr>
          </m:sSupPr>
          <m:e>
            <m:r>
              <m:rPr/>
              <w:rPr>
                <w:rStyle w:val="23"/>
                <w:rFonts w:ascii="Cambria Math" w:hAnsi="Cambria Math"/>
                <w:szCs w:val="20"/>
              </w:rPr>
              <m:t>s</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r>
          <m:rPr>
            <m:sty m:val="p"/>
          </m:rPr>
          <w:rPr>
            <w:rStyle w:val="23"/>
            <w:rFonts w:ascii="Cambria Math" w:hAnsi="Cambria Math"/>
            <w:szCs w:val="20"/>
          </w:rPr>
          <m:t>(</m:t>
        </m:r>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k</m:t>
            </m:r>
            <m:ctrlPr>
              <w:rPr>
                <w:rStyle w:val="23"/>
                <w:rFonts w:ascii="Cambria Math" w:hAnsi="Cambria Math"/>
                <w:szCs w:val="20"/>
              </w:rPr>
            </m:ctrlPr>
          </m:sub>
        </m:sSub>
        <m:r>
          <m:rPr>
            <m:sty m:val="p"/>
          </m:rPr>
          <w:rPr>
            <w:rStyle w:val="23"/>
            <w:rFonts w:ascii="Cambria Math" w:hAnsi="Cambria Math"/>
            <w:szCs w:val="20"/>
          </w:rPr>
          <m:t>)</m:t>
        </m:r>
      </m:oMath>
      <w:r>
        <w:rPr>
          <w:rStyle w:val="23"/>
          <w:rFonts w:ascii="Times New Roman" w:hAnsi="Times New Roman"/>
          <w:szCs w:val="20"/>
        </w:rPr>
        <w:t>为：</w:t>
      </w:r>
    </w:p>
    <w:p w14:paraId="65E4CCC9">
      <w:pPr>
        <w:tabs>
          <w:tab w:val="center" w:pos="4150"/>
          <w:tab w:val="right" w:pos="10104"/>
        </w:tabs>
        <w:spacing w:line="600" w:lineRule="auto"/>
        <w:ind w:firstLine="480" w:firstLineChars="200"/>
        <w:jc w:val="center"/>
        <w:rPr>
          <w:rStyle w:val="23"/>
          <w:rFonts w:ascii="Times New Roman" w:hAnsi="Times New Roman"/>
          <w:szCs w:val="20"/>
        </w:rPr>
      </w:pPr>
      <w:r>
        <w:rPr>
          <w:rStyle w:val="23"/>
          <w:rFonts w:ascii="Times New Roman" w:hAnsi="Times New Roman"/>
          <w:szCs w:val="20"/>
        </w:rPr>
        <w:tab/>
      </w:r>
      <m:oMath>
        <m:sSup>
          <m:sSupPr>
            <m:ctrlPr>
              <w:rPr>
                <w:rStyle w:val="23"/>
                <w:rFonts w:ascii="Cambria Math" w:hAnsi="Cambria Math"/>
                <w:szCs w:val="20"/>
              </w:rPr>
            </m:ctrlPr>
          </m:sSupPr>
          <m:e>
            <m:r>
              <m:rPr/>
              <w:rPr>
                <w:rStyle w:val="23"/>
                <w:rFonts w:ascii="Cambria Math" w:hAnsi="Cambria Math"/>
                <w:szCs w:val="20"/>
              </w:rPr>
              <m:t>s</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d>
          <m:dPr>
            <m:ctrlPr>
              <w:rPr>
                <w:rStyle w:val="23"/>
                <w:rFonts w:ascii="Cambria Math" w:hAnsi="Cambria Math"/>
                <w:szCs w:val="20"/>
              </w:rPr>
            </m:ctrlPr>
          </m:dPr>
          <m:e>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k</m:t>
                </m:r>
                <m:ctrlPr>
                  <w:rPr>
                    <w:rStyle w:val="23"/>
                    <w:rFonts w:ascii="Cambria Math" w:hAnsi="Cambria Math"/>
                    <w:szCs w:val="20"/>
                  </w:rPr>
                </m:ctrlPr>
              </m:sub>
            </m:sSub>
            <m:ctrlPr>
              <w:rPr>
                <w:rStyle w:val="23"/>
                <w:rFonts w:ascii="Cambria Math" w:hAnsi="Cambria Math"/>
                <w:szCs w:val="20"/>
              </w:rPr>
            </m:ctrlPr>
          </m:e>
        </m:d>
        <m:r>
          <m:rPr>
            <m:sty m:val="p"/>
          </m:rPr>
          <w:rPr>
            <w:rStyle w:val="23"/>
            <w:rFonts w:ascii="Cambria Math" w:hAnsi="Cambria Math"/>
            <w:szCs w:val="20"/>
          </w:rPr>
          <m:t>=</m:t>
        </m:r>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r>
              <m:rPr>
                <m:sty m:val="p"/>
              </m:rPr>
              <w:rPr>
                <w:rStyle w:val="23"/>
                <w:rFonts w:ascii="Cambria Math" w:hAnsi="Cambria Math"/>
                <w:szCs w:val="20"/>
              </w:rPr>
              <m:t>−1</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p>
              <m:sSupPr>
                <m:ctrlPr>
                  <w:rPr>
                    <w:rStyle w:val="23"/>
                    <w:rFonts w:ascii="Cambria Math" w:hAnsi="Cambria Math"/>
                    <w:szCs w:val="20"/>
                  </w:rPr>
                </m:ctrlPr>
              </m:sSupPr>
              <m:e>
                <m:sSub>
                  <m:sSubPr>
                    <m:ctrlPr>
                      <w:rPr>
                        <w:rStyle w:val="23"/>
                        <w:rFonts w:ascii="Cambria Math" w:hAnsi="Cambria Math"/>
                        <w:szCs w:val="20"/>
                      </w:rPr>
                    </m:ctrlPr>
                  </m:sSubPr>
                  <m:e>
                    <m:r>
                      <m:rPr>
                        <m:sty m:val="p"/>
                      </m:rPr>
                      <w:rPr>
                        <w:rStyle w:val="23"/>
                        <w:rFonts w:ascii="Cambria Math" w:hAnsi="Cambria Math"/>
                        <w:szCs w:val="20"/>
                      </w:rPr>
                      <m:t>(</m:t>
                    </m:r>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i</m:t>
                    </m:r>
                    <m:ctrlPr>
                      <w:rPr>
                        <w:rStyle w:val="23"/>
                        <w:rFonts w:ascii="Cambria Math" w:hAnsi="Cambria Math"/>
                        <w:szCs w:val="20"/>
                      </w:rPr>
                    </m:ctrlPr>
                  </m:sub>
                </m:sSub>
                <m:r>
                  <m:rPr>
                    <m:sty m:val="p"/>
                  </m:rPr>
                  <w:rPr>
                    <w:rStyle w:val="23"/>
                    <w:rFonts w:ascii="Cambria Math" w:hAnsi="Cambria Math"/>
                    <w:szCs w:val="20"/>
                  </w:rPr>
                  <m:t>−</m:t>
                </m:r>
                <m:acc>
                  <m:accPr>
                    <m:chr m:val="̅"/>
                    <m:ctrlPr>
                      <w:rPr>
                        <w:rStyle w:val="23"/>
                        <w:rFonts w:ascii="Cambria Math" w:hAnsi="Cambria Math"/>
                        <w:szCs w:val="20"/>
                      </w:rPr>
                    </m:ctrlPr>
                  </m:accPr>
                  <m:e>
                    <m:r>
                      <m:rPr/>
                      <w:rPr>
                        <w:rStyle w:val="23"/>
                        <w:rFonts w:ascii="Cambria Math" w:hAnsi="Cambria Math"/>
                        <w:szCs w:val="20"/>
                      </w:rPr>
                      <m:t>x</m:t>
                    </m:r>
                    <m:ctrlPr>
                      <w:rPr>
                        <w:rStyle w:val="23"/>
                        <w:rFonts w:ascii="Cambria Math" w:hAnsi="Cambria Math"/>
                        <w:szCs w:val="20"/>
                      </w:rPr>
                    </m:ctrlPr>
                  </m:e>
                </m:acc>
                <m:r>
                  <m:rPr>
                    <m:sty m:val="p"/>
                  </m:rPr>
                  <w:rPr>
                    <w:rStyle w:val="23"/>
                    <w:rFonts w:ascii="Cambria Math" w:hAnsi="Cambria Math"/>
                    <w:szCs w:val="20"/>
                  </w:rPr>
                  <m:t>)</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ctrlPr>
              <w:rPr>
                <w:rStyle w:val="23"/>
                <w:rFonts w:ascii="Cambria Math" w:hAnsi="Cambria Math"/>
                <w:szCs w:val="20"/>
              </w:rPr>
            </m:ctrlPr>
          </m:e>
        </m:nary>
      </m:oMath>
      <w:r>
        <w:rPr>
          <w:rStyle w:val="23"/>
          <w:rFonts w:ascii="Times New Roman" w:hAnsi="Times New Roman"/>
          <w:szCs w:val="20"/>
        </w:rPr>
        <w:tab/>
      </w:r>
      <w:r>
        <w:rPr>
          <w:rStyle w:val="23"/>
          <w:rFonts w:ascii="Times New Roman" w:hAnsi="Times New Roman"/>
          <w:szCs w:val="20"/>
        </w:rPr>
        <w:t>（2）</w:t>
      </w:r>
    </w:p>
    <w:p w14:paraId="15912D10">
      <w:pPr>
        <w:spacing w:line="360" w:lineRule="auto"/>
        <w:ind w:firstLine="480" w:firstLineChars="200"/>
        <w:rPr>
          <w:rStyle w:val="23"/>
          <w:rFonts w:ascii="Times New Roman" w:hAnsi="Times New Roman"/>
          <w:szCs w:val="20"/>
        </w:rPr>
      </w:pPr>
      <w:r>
        <w:rPr>
          <w:rStyle w:val="23"/>
          <w:rFonts w:ascii="Times New Roman" w:hAnsi="Times New Roman"/>
          <w:szCs w:val="20"/>
        </w:rPr>
        <w:t>根据贝塞尔公式，单个测得值x的实验标准偏差</w:t>
      </w:r>
      <m:oMath>
        <m:r>
          <m:rPr/>
          <w:rPr>
            <w:rStyle w:val="23"/>
            <w:rFonts w:ascii="Cambria Math" w:hAnsi="Cambria Math"/>
            <w:szCs w:val="20"/>
          </w:rPr>
          <m:t>s</m:t>
        </m:r>
        <m:r>
          <m:rPr>
            <m:sty m:val="p"/>
          </m:rPr>
          <w:rPr>
            <w:rStyle w:val="23"/>
            <w:rFonts w:ascii="Cambria Math" w:hAnsi="Cambria Math"/>
            <w:szCs w:val="20"/>
          </w:rPr>
          <m:t>(</m:t>
        </m:r>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k</m:t>
            </m:r>
            <m:ctrlPr>
              <w:rPr>
                <w:rStyle w:val="23"/>
                <w:rFonts w:ascii="Cambria Math" w:hAnsi="Cambria Math"/>
                <w:szCs w:val="20"/>
              </w:rPr>
            </m:ctrlPr>
          </m:sub>
        </m:sSub>
        <m:r>
          <m:rPr>
            <m:sty m:val="p"/>
          </m:rPr>
          <w:rPr>
            <w:rStyle w:val="23"/>
            <w:rFonts w:ascii="Cambria Math" w:hAnsi="Cambria Math"/>
            <w:szCs w:val="20"/>
          </w:rPr>
          <m:t>)</m:t>
        </m:r>
      </m:oMath>
      <w:r>
        <w:rPr>
          <w:rStyle w:val="23"/>
          <w:rFonts w:ascii="Times New Roman" w:hAnsi="Times New Roman"/>
          <w:szCs w:val="20"/>
        </w:rPr>
        <w:t>为：</w:t>
      </w:r>
    </w:p>
    <w:p w14:paraId="7D7A83D1">
      <w:pPr>
        <w:tabs>
          <w:tab w:val="center" w:pos="1537"/>
          <w:tab w:val="center" w:pos="4150"/>
          <w:tab w:val="right" w:pos="10104"/>
        </w:tabs>
        <w:spacing w:line="600" w:lineRule="auto"/>
        <w:ind w:firstLine="480" w:firstLineChars="200"/>
        <w:jc w:val="center"/>
        <w:rPr>
          <w:rStyle w:val="23"/>
          <w:rFonts w:ascii="Times New Roman" w:hAnsi="Times New Roman"/>
          <w:szCs w:val="20"/>
        </w:rPr>
      </w:pPr>
      <w:r>
        <w:rPr>
          <w:rStyle w:val="23"/>
          <w:rFonts w:ascii="Times New Roman" w:hAnsi="Times New Roman"/>
          <w:iCs/>
          <w:szCs w:val="20"/>
        </w:rPr>
        <w:tab/>
      </w:r>
      <w:r>
        <w:rPr>
          <w:rStyle w:val="23"/>
          <w:rFonts w:ascii="Times New Roman" w:hAnsi="Times New Roman"/>
          <w:iCs/>
          <w:szCs w:val="20"/>
        </w:rPr>
        <w:tab/>
      </w:r>
      <m:oMath>
        <m:r>
          <m:rPr/>
          <w:rPr>
            <w:rStyle w:val="23"/>
            <w:rFonts w:ascii="Cambria Math" w:hAnsi="Cambria Math"/>
            <w:szCs w:val="20"/>
          </w:rPr>
          <m:t>s</m:t>
        </m:r>
        <m:d>
          <m:dPr>
            <m:ctrlPr>
              <w:rPr>
                <w:rStyle w:val="23"/>
                <w:rFonts w:ascii="Cambria Math" w:hAnsi="Cambria Math"/>
                <w:szCs w:val="20"/>
              </w:rPr>
            </m:ctrlPr>
          </m:dPr>
          <m:e>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k</m:t>
                </m:r>
                <m:ctrlPr>
                  <w:rPr>
                    <w:rStyle w:val="23"/>
                    <w:rFonts w:ascii="Cambria Math" w:hAnsi="Cambria Math"/>
                    <w:szCs w:val="20"/>
                  </w:rPr>
                </m:ctrlPr>
              </m:sub>
            </m:sSub>
            <m:ctrlPr>
              <w:rPr>
                <w:rStyle w:val="23"/>
                <w:rFonts w:ascii="Cambria Math" w:hAnsi="Cambria Math"/>
                <w:szCs w:val="20"/>
              </w:rPr>
            </m:ctrlPr>
          </m:e>
        </m:d>
        <m:r>
          <m:rPr>
            <m:sty m:val="p"/>
          </m:rPr>
          <w:rPr>
            <w:rStyle w:val="23"/>
            <w:rFonts w:ascii="Cambria Math" w:hAnsi="Cambria Math"/>
            <w:szCs w:val="20"/>
          </w:rPr>
          <m:t>=</m:t>
        </m:r>
        <m:rad>
          <m:radPr>
            <m:degHide m:val="1"/>
            <m:ctrlPr>
              <w:rPr>
                <w:rStyle w:val="23"/>
                <w:rFonts w:ascii="Cambria Math" w:hAnsi="Cambria Math"/>
                <w:szCs w:val="20"/>
              </w:rPr>
            </m:ctrlPr>
          </m:radPr>
          <m:deg>
            <m:ctrlPr>
              <w:rPr>
                <w:rStyle w:val="23"/>
                <w:rFonts w:ascii="Cambria Math" w:hAnsi="Cambria Math"/>
                <w:szCs w:val="20"/>
              </w:rPr>
            </m:ctrlPr>
          </m:deg>
          <m:e>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r>
                  <m:rPr>
                    <m:sty m:val="p"/>
                  </m:rPr>
                  <w:rPr>
                    <w:rStyle w:val="23"/>
                    <w:rFonts w:ascii="Cambria Math" w:hAnsi="Cambria Math"/>
                    <w:szCs w:val="20"/>
                  </w:rPr>
                  <m:t>−1</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p>
                  <m:sSupPr>
                    <m:ctrlPr>
                      <w:rPr>
                        <w:rStyle w:val="23"/>
                        <w:rFonts w:ascii="Cambria Math" w:hAnsi="Cambria Math"/>
                        <w:szCs w:val="20"/>
                      </w:rPr>
                    </m:ctrlPr>
                  </m:sSupPr>
                  <m:e>
                    <m:sSub>
                      <m:sSubPr>
                        <m:ctrlPr>
                          <w:rPr>
                            <w:rStyle w:val="23"/>
                            <w:rFonts w:ascii="Cambria Math" w:hAnsi="Cambria Math"/>
                            <w:szCs w:val="20"/>
                          </w:rPr>
                        </m:ctrlPr>
                      </m:sSubPr>
                      <m:e>
                        <m:r>
                          <m:rPr>
                            <m:sty m:val="p"/>
                          </m:rPr>
                          <w:rPr>
                            <w:rStyle w:val="23"/>
                            <w:rFonts w:ascii="Cambria Math" w:hAnsi="Cambria Math"/>
                            <w:szCs w:val="20"/>
                          </w:rPr>
                          <m:t>(</m:t>
                        </m:r>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i</m:t>
                        </m:r>
                        <m:ctrlPr>
                          <w:rPr>
                            <w:rStyle w:val="23"/>
                            <w:rFonts w:ascii="Cambria Math" w:hAnsi="Cambria Math"/>
                            <w:szCs w:val="20"/>
                          </w:rPr>
                        </m:ctrlPr>
                      </m:sub>
                    </m:sSub>
                    <m:r>
                      <m:rPr>
                        <m:sty m:val="p"/>
                      </m:rPr>
                      <w:rPr>
                        <w:rStyle w:val="23"/>
                        <w:rFonts w:ascii="Cambria Math" w:hAnsi="Cambria Math"/>
                        <w:szCs w:val="20"/>
                      </w:rPr>
                      <m:t>−</m:t>
                    </m:r>
                    <m:acc>
                      <m:accPr>
                        <m:chr m:val="̅"/>
                        <m:ctrlPr>
                          <w:rPr>
                            <w:rStyle w:val="23"/>
                            <w:rFonts w:ascii="Cambria Math" w:hAnsi="Cambria Math"/>
                            <w:szCs w:val="20"/>
                          </w:rPr>
                        </m:ctrlPr>
                      </m:accPr>
                      <m:e>
                        <m:r>
                          <m:rPr/>
                          <w:rPr>
                            <w:rStyle w:val="23"/>
                            <w:rFonts w:ascii="Cambria Math" w:hAnsi="Cambria Math"/>
                            <w:szCs w:val="20"/>
                          </w:rPr>
                          <m:t>x</m:t>
                        </m:r>
                        <m:ctrlPr>
                          <w:rPr>
                            <w:rStyle w:val="23"/>
                            <w:rFonts w:ascii="Cambria Math" w:hAnsi="Cambria Math"/>
                            <w:szCs w:val="20"/>
                          </w:rPr>
                        </m:ctrlPr>
                      </m:e>
                    </m:acc>
                    <m:r>
                      <m:rPr>
                        <m:sty m:val="p"/>
                      </m:rPr>
                      <w:rPr>
                        <w:rStyle w:val="23"/>
                        <w:rFonts w:ascii="Cambria Math" w:hAnsi="Cambria Math"/>
                        <w:szCs w:val="20"/>
                      </w:rPr>
                      <m:t>)</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ctrlPr>
                  <w:rPr>
                    <w:rStyle w:val="23"/>
                    <w:rFonts w:ascii="Cambria Math" w:hAnsi="Cambria Math"/>
                    <w:szCs w:val="20"/>
                  </w:rPr>
                </m:ctrlPr>
              </m:e>
            </m:nary>
            <m:ctrlPr>
              <w:rPr>
                <w:rStyle w:val="23"/>
                <w:rFonts w:ascii="Cambria Math" w:hAnsi="Cambria Math"/>
                <w:szCs w:val="20"/>
              </w:rPr>
            </m:ctrlPr>
          </m:e>
        </m:rad>
      </m:oMath>
      <w:r>
        <w:rPr>
          <w:rStyle w:val="23"/>
          <w:rFonts w:ascii="Times New Roman" w:hAnsi="Times New Roman"/>
          <w:szCs w:val="20"/>
        </w:rPr>
        <w:tab/>
      </w:r>
      <w:r>
        <w:rPr>
          <w:rStyle w:val="23"/>
          <w:rFonts w:ascii="Times New Roman" w:hAnsi="Times New Roman"/>
          <w:szCs w:val="20"/>
        </w:rPr>
        <w:t>（3）</w:t>
      </w:r>
    </w:p>
    <w:p w14:paraId="601FF44A">
      <w:pPr>
        <w:tabs>
          <w:tab w:val="center" w:pos="1537"/>
          <w:tab w:val="center" w:pos="4150"/>
          <w:tab w:val="right" w:pos="10104"/>
        </w:tabs>
        <w:spacing w:line="360" w:lineRule="auto"/>
        <w:ind w:firstLine="480" w:firstLineChars="200"/>
        <w:rPr>
          <w:rStyle w:val="23"/>
          <w:rFonts w:ascii="Times New Roman" w:hAnsi="Times New Roman"/>
          <w:szCs w:val="20"/>
        </w:rPr>
      </w:pPr>
      <w:r>
        <w:rPr>
          <w:rStyle w:val="23"/>
          <w:rFonts w:ascii="Times New Roman" w:hAnsi="Times New Roman"/>
          <w:szCs w:val="20"/>
        </w:rPr>
        <w:t>基于公式（1）～（3），计算得到</w:t>
      </w:r>
      <w:r>
        <w:rPr>
          <w:rStyle w:val="23"/>
          <w:rFonts w:hint="eastAsia" w:ascii="Times New Roman" w:hAnsi="Times New Roman"/>
          <w:szCs w:val="20"/>
        </w:rPr>
        <w:t>被测量</w:t>
      </w:r>
      <w:r>
        <w:rPr>
          <w:rStyle w:val="23"/>
          <w:rFonts w:ascii="Times New Roman" w:hAnsi="Times New Roman"/>
          <w:szCs w:val="20"/>
        </w:rPr>
        <w:t>的最佳估计值及标准偏差，如表</w:t>
      </w:r>
      <w:r>
        <w:rPr>
          <w:rStyle w:val="23"/>
          <w:rFonts w:hint="eastAsia" w:ascii="Times New Roman" w:hAnsi="Times New Roman"/>
          <w:szCs w:val="20"/>
        </w:rPr>
        <w:t>A.3</w:t>
      </w:r>
      <w:r>
        <w:rPr>
          <w:rStyle w:val="23"/>
          <w:rFonts w:ascii="Times New Roman" w:hAnsi="Times New Roman"/>
          <w:szCs w:val="20"/>
        </w:rPr>
        <w:t>所示。</w:t>
      </w:r>
    </w:p>
    <w:p w14:paraId="44EBB564">
      <w:pPr>
        <w:snapToGrid w:val="0"/>
        <w:spacing w:line="360" w:lineRule="auto"/>
        <w:jc w:val="center"/>
        <w:rPr>
          <w:sz w:val="24"/>
          <w:szCs w:val="24"/>
        </w:rPr>
      </w:pPr>
      <w:r>
        <w:t>表</w:t>
      </w:r>
      <w:r>
        <w:rPr>
          <w:rFonts w:hint="eastAsia"/>
        </w:rPr>
        <w:t>A.3被测量</w:t>
      </w:r>
      <w:r>
        <w:t>的最佳估计及标准偏差</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842"/>
        <w:gridCol w:w="1985"/>
      </w:tblGrid>
      <w:tr w14:paraId="430D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219A967F">
            <w:pPr>
              <w:tabs>
                <w:tab w:val="center" w:pos="1537"/>
                <w:tab w:val="center" w:pos="4150"/>
                <w:tab w:val="right" w:pos="10104"/>
              </w:tabs>
              <w:spacing w:line="360" w:lineRule="auto"/>
              <w:jc w:val="center"/>
              <w:rPr>
                <w:rStyle w:val="23"/>
                <w:rFonts w:ascii="Times New Roman" w:hAnsi="Times New Roman"/>
                <w:sz w:val="21"/>
              </w:rPr>
            </w:pPr>
            <w:r>
              <w:rPr>
                <w:rFonts w:hint="eastAsia"/>
              </w:rPr>
              <w:t>被测量</w:t>
            </w:r>
          </w:p>
        </w:tc>
        <w:tc>
          <w:tcPr>
            <w:tcW w:w="1842" w:type="dxa"/>
            <w:vAlign w:val="center"/>
          </w:tcPr>
          <w:p w14:paraId="428C3F75">
            <w:pPr>
              <w:tabs>
                <w:tab w:val="center" w:pos="1537"/>
                <w:tab w:val="center" w:pos="4150"/>
                <w:tab w:val="right" w:pos="10104"/>
              </w:tabs>
              <w:spacing w:line="360" w:lineRule="auto"/>
              <w:jc w:val="center"/>
              <w:rPr>
                <w:rStyle w:val="23"/>
                <w:rFonts w:ascii="Times New Roman" w:hAnsi="Times New Roman"/>
                <w:sz w:val="21"/>
              </w:rPr>
            </w:pPr>
            <w:r>
              <w:rPr>
                <w:rStyle w:val="23"/>
                <w:rFonts w:ascii="Times New Roman" w:hAnsi="Times New Roman"/>
                <w:sz w:val="21"/>
              </w:rPr>
              <w:t>最佳估计值（</w:t>
            </w:r>
            <m:oMath>
              <m:acc>
                <m:accPr>
                  <m:chr m:val="̅"/>
                  <m:ctrlPr>
                    <w:rPr>
                      <w:rStyle w:val="23"/>
                      <w:rFonts w:ascii="Cambria Math" w:hAnsi="Cambria Math"/>
                      <w:sz w:val="21"/>
                    </w:rPr>
                  </m:ctrlPr>
                </m:accPr>
                <m:e>
                  <m:r>
                    <m:rPr/>
                    <w:rPr>
                      <w:rStyle w:val="23"/>
                      <w:rFonts w:ascii="Cambria Math" w:hAnsi="Cambria Math"/>
                      <w:sz w:val="21"/>
                    </w:rPr>
                    <m:t>d</m:t>
                  </m:r>
                  <m:ctrlPr>
                    <w:rPr>
                      <w:rStyle w:val="23"/>
                      <w:rFonts w:ascii="Cambria Math" w:hAnsi="Cambria Math"/>
                      <w:sz w:val="21"/>
                    </w:rPr>
                  </m:ctrlPr>
                </m:e>
              </m:acc>
            </m:oMath>
            <w:r>
              <w:rPr>
                <w:rStyle w:val="23"/>
                <w:rFonts w:ascii="Times New Roman" w:hAnsi="Times New Roman"/>
                <w:sz w:val="21"/>
              </w:rPr>
              <w:t>）</w:t>
            </w:r>
          </w:p>
        </w:tc>
        <w:tc>
          <w:tcPr>
            <w:tcW w:w="1985" w:type="dxa"/>
            <w:vAlign w:val="center"/>
          </w:tcPr>
          <w:p w14:paraId="196B439F">
            <w:pPr>
              <w:tabs>
                <w:tab w:val="center" w:pos="1537"/>
                <w:tab w:val="center" w:pos="4150"/>
                <w:tab w:val="right" w:pos="10104"/>
              </w:tabs>
              <w:spacing w:line="360" w:lineRule="auto"/>
              <w:jc w:val="center"/>
              <w:rPr>
                <w:rStyle w:val="23"/>
                <w:rFonts w:ascii="Times New Roman" w:hAnsi="Times New Roman"/>
                <w:sz w:val="21"/>
              </w:rPr>
            </w:pPr>
            <w:r>
              <w:rPr>
                <w:rStyle w:val="23"/>
                <w:rFonts w:ascii="Times New Roman" w:hAnsi="Times New Roman"/>
                <w:sz w:val="21"/>
              </w:rPr>
              <w:t>标准偏差</w:t>
            </w:r>
            <m:oMath>
              <m:r>
                <m:rPr/>
                <w:rPr>
                  <w:rStyle w:val="23"/>
                  <w:rFonts w:ascii="Cambria Math" w:hAnsi="Cambria Math"/>
                  <w:sz w:val="21"/>
                </w:rPr>
                <m:t>s</m:t>
              </m:r>
              <m:r>
                <m:rPr>
                  <m:sty m:val="p"/>
                </m:rPr>
                <w:rPr>
                  <w:rStyle w:val="23"/>
                  <w:rFonts w:ascii="Cambria Math" w:hAnsi="Cambria Math"/>
                  <w:sz w:val="21"/>
                </w:rPr>
                <m:t>(</m:t>
              </m:r>
              <m:sSub>
                <m:sSubPr>
                  <m:ctrlPr>
                    <w:rPr>
                      <w:rStyle w:val="23"/>
                      <w:rFonts w:ascii="Cambria Math" w:hAnsi="Cambria Math"/>
                      <w:sz w:val="21"/>
                    </w:rPr>
                  </m:ctrlPr>
                </m:sSubPr>
                <m:e>
                  <m:r>
                    <m:rPr/>
                    <w:rPr>
                      <w:rStyle w:val="23"/>
                      <w:rFonts w:ascii="Cambria Math" w:hAnsi="Cambria Math"/>
                      <w:sz w:val="21"/>
                    </w:rPr>
                    <m:t>d</m:t>
                  </m:r>
                  <m:ctrlPr>
                    <w:rPr>
                      <w:rStyle w:val="23"/>
                      <w:rFonts w:ascii="Cambria Math" w:hAnsi="Cambria Math"/>
                      <w:sz w:val="21"/>
                    </w:rPr>
                  </m:ctrlPr>
                </m:e>
                <m:sub>
                  <m:r>
                    <m:rPr/>
                    <w:rPr>
                      <w:rStyle w:val="23"/>
                      <w:rFonts w:ascii="Cambria Math" w:hAnsi="Cambria Math"/>
                      <w:sz w:val="21"/>
                    </w:rPr>
                    <m:t>k</m:t>
                  </m:r>
                  <m:ctrlPr>
                    <w:rPr>
                      <w:rStyle w:val="23"/>
                      <w:rFonts w:ascii="Cambria Math" w:hAnsi="Cambria Math"/>
                      <w:sz w:val="21"/>
                    </w:rPr>
                  </m:ctrlPr>
                </m:sub>
              </m:sSub>
              <m:r>
                <m:rPr>
                  <m:sty m:val="p"/>
                </m:rPr>
                <w:rPr>
                  <w:rStyle w:val="23"/>
                  <w:rFonts w:ascii="Cambria Math" w:hAnsi="Cambria Math"/>
                  <w:sz w:val="21"/>
                </w:rPr>
                <m:t>)</m:t>
              </m:r>
            </m:oMath>
          </w:p>
        </w:tc>
      </w:tr>
      <w:tr w14:paraId="677F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Align w:val="center"/>
          </w:tcPr>
          <w:p w14:paraId="0994737C">
            <w:pPr>
              <w:widowControl/>
              <w:jc w:val="center"/>
              <w:rPr>
                <w:color w:val="000000"/>
                <w:kern w:val="0"/>
              </w:rPr>
            </w:pPr>
            <w:r>
              <w:rPr>
                <w:color w:val="000000"/>
                <w:kern w:val="0"/>
              </w:rPr>
              <w:t>光谱共焦传感器</w:t>
            </w:r>
          </w:p>
          <w:p w14:paraId="1F1F21A8">
            <w:pPr>
              <w:widowControl/>
              <w:jc w:val="center"/>
              <w:rPr>
                <w:rStyle w:val="23"/>
                <w:rFonts w:ascii="Times New Roman" w:hAnsi="Times New Roman"/>
                <w:color w:val="000000"/>
                <w:kern w:val="0"/>
                <w:sz w:val="21"/>
              </w:rPr>
            </w:pPr>
            <w:r>
              <w:rPr>
                <w:color w:val="000000"/>
                <w:kern w:val="0"/>
              </w:rPr>
              <w:t>测量值</w:t>
            </w:r>
            <w:r>
              <w:rPr>
                <w:i/>
                <w:iCs/>
              </w:rPr>
              <w:t>d</w:t>
            </w:r>
            <w:r>
              <w:rPr>
                <w:color w:val="000000"/>
                <w:kern w:val="0"/>
              </w:rPr>
              <w:t xml:space="preserve"> / </w:t>
            </w:r>
            <w:r>
              <w:rPr>
                <w:sz w:val="24"/>
                <w:szCs w:val="24"/>
                <w:shd w:val="clear" w:color="auto" w:fill="FFFFFF"/>
              </w:rPr>
              <w:t>μm</w:t>
            </w:r>
          </w:p>
        </w:tc>
        <w:tc>
          <w:tcPr>
            <w:tcW w:w="1842" w:type="dxa"/>
            <w:vAlign w:val="center"/>
          </w:tcPr>
          <w:p w14:paraId="085AFA0F">
            <w:pPr>
              <w:tabs>
                <w:tab w:val="center" w:pos="1537"/>
                <w:tab w:val="center" w:pos="4150"/>
                <w:tab w:val="right" w:pos="10104"/>
              </w:tabs>
              <w:spacing w:line="360" w:lineRule="auto"/>
              <w:jc w:val="center"/>
              <w:rPr>
                <w:rStyle w:val="23"/>
                <w:rFonts w:ascii="Times New Roman" w:hAnsi="Times New Roman"/>
                <w:color w:val="000000"/>
                <w:kern w:val="0"/>
                <w:sz w:val="21"/>
              </w:rPr>
            </w:pPr>
            <w:r>
              <w:t>500.</w:t>
            </w:r>
            <w:r>
              <w:rPr>
                <w:rFonts w:hint="eastAsia"/>
              </w:rPr>
              <w:t>5</w:t>
            </w:r>
            <w:r>
              <w:t>0</w:t>
            </w:r>
          </w:p>
        </w:tc>
        <w:tc>
          <w:tcPr>
            <w:tcW w:w="1985" w:type="dxa"/>
            <w:vAlign w:val="center"/>
          </w:tcPr>
          <w:p w14:paraId="2537C4A1">
            <w:pPr>
              <w:tabs>
                <w:tab w:val="center" w:pos="1537"/>
                <w:tab w:val="center" w:pos="4150"/>
                <w:tab w:val="right" w:pos="10104"/>
              </w:tabs>
              <w:spacing w:line="360" w:lineRule="auto"/>
              <w:jc w:val="center"/>
              <w:rPr>
                <w:rStyle w:val="23"/>
                <w:rFonts w:ascii="Times New Roman" w:hAnsi="Times New Roman"/>
                <w:sz w:val="21"/>
              </w:rPr>
            </w:pPr>
            <w:r>
              <w:rPr>
                <w:rFonts w:hint="eastAsia"/>
              </w:rPr>
              <w:t>1</w:t>
            </w:r>
            <w:r>
              <w:t>.</w:t>
            </w:r>
            <w:r>
              <w:rPr>
                <w:rFonts w:hint="eastAsia"/>
              </w:rPr>
              <w:t>60</w:t>
            </w:r>
          </w:p>
        </w:tc>
      </w:tr>
    </w:tbl>
    <w:p w14:paraId="0FBA7C65">
      <w:pPr>
        <w:tabs>
          <w:tab w:val="center" w:pos="4150"/>
          <w:tab w:val="right" w:pos="10103"/>
        </w:tabs>
        <w:spacing w:line="360" w:lineRule="auto"/>
        <w:ind w:firstLine="240" w:firstLineChars="100"/>
        <w:rPr>
          <w:sz w:val="24"/>
          <w:szCs w:val="24"/>
        </w:rPr>
      </w:pPr>
      <w:r>
        <w:rPr>
          <w:sz w:val="24"/>
          <w:szCs w:val="24"/>
        </w:rPr>
        <w:t>设光谱共焦传感器自身测量不确定度分量为</w:t>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oMath>
      <w:r>
        <w:rPr>
          <w:sz w:val="24"/>
          <w:szCs w:val="24"/>
        </w:rPr>
        <w:t>，标准激光干涉仪的测量不确定度分量为</w:t>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r>
        <w:rPr>
          <w:sz w:val="24"/>
          <w:szCs w:val="24"/>
        </w:rPr>
        <w:t>，假设其服从均匀分布，</w:t>
      </w:r>
      <w:r>
        <w:rPr>
          <w:i/>
          <w:iCs/>
          <w:sz w:val="24"/>
          <w:szCs w:val="24"/>
        </w:rPr>
        <w:t>k</w:t>
      </w:r>
      <w:r>
        <w:rPr>
          <w:sz w:val="24"/>
          <w:szCs w:val="24"/>
        </w:rPr>
        <w:t>取</w:t>
      </w:r>
      <m:oMath>
        <m:rad>
          <m:radPr>
            <m:degHide m:val="1"/>
            <m:ctrlPr>
              <w:rPr>
                <w:rFonts w:ascii="Cambria Math" w:hAnsi="Cambria Math"/>
                <w:i/>
                <w:sz w:val="22"/>
                <w:szCs w:val="22"/>
              </w:rPr>
            </m:ctrlPr>
          </m:radPr>
          <m:deg>
            <m:ctrlPr>
              <w:rPr>
                <w:rFonts w:ascii="Cambria Math" w:hAnsi="Cambria Math"/>
                <w:i/>
                <w:sz w:val="22"/>
                <w:szCs w:val="22"/>
              </w:rPr>
            </m:ctrlPr>
          </m:deg>
          <m:e>
            <m:r>
              <m:rPr/>
              <w:rPr>
                <w:rFonts w:ascii="Cambria Math" w:hAnsi="Cambria Math"/>
                <w:sz w:val="22"/>
                <w:szCs w:val="22"/>
              </w:rPr>
              <m:t>10</m:t>
            </m:r>
            <m:ctrlPr>
              <w:rPr>
                <w:rFonts w:ascii="Cambria Math" w:hAnsi="Cambria Math"/>
                <w:i/>
                <w:sz w:val="22"/>
                <w:szCs w:val="22"/>
              </w:rPr>
            </m:ctrlPr>
          </m:e>
        </m:rad>
      </m:oMath>
      <w:r>
        <w:rPr>
          <w:sz w:val="24"/>
          <w:szCs w:val="24"/>
        </w:rPr>
        <w:t>，</w:t>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r>
        <w:rPr>
          <w:sz w:val="24"/>
          <w:szCs w:val="24"/>
        </w:rPr>
        <w:t>采用B类评定法，则有：</w:t>
      </w:r>
    </w:p>
    <w:p w14:paraId="0042FB6C">
      <w:pPr>
        <w:tabs>
          <w:tab w:val="center" w:pos="4150"/>
          <w:tab w:val="right" w:pos="10103"/>
        </w:tabs>
        <w:spacing w:line="360" w:lineRule="auto"/>
        <w:ind w:firstLine="240" w:firstLineChars="100"/>
        <w:rPr>
          <w:sz w:val="24"/>
          <w:szCs w:val="24"/>
        </w:rPr>
      </w:pPr>
      <w:r>
        <w:rPr>
          <w:sz w:val="24"/>
          <w:szCs w:val="24"/>
        </w:rPr>
        <w:tab/>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bCs/>
                    <w:sz w:val="24"/>
                    <w:szCs w:val="24"/>
                  </w:rPr>
                </m:ctrlPr>
              </m:sSubPr>
              <m:e>
                <m:r>
                  <m:rPr/>
                  <w:rPr>
                    <w:rFonts w:ascii="Cambria Math" w:hAnsi="Cambria Math"/>
                    <w:sz w:val="24"/>
                    <w:szCs w:val="24"/>
                  </w:rPr>
                  <m:t>S</m:t>
                </m:r>
                <m:ctrlPr>
                  <w:rPr>
                    <w:rFonts w:ascii="Cambria Math" w:hAnsi="Cambria Math"/>
                    <w:bCs/>
                    <w:sz w:val="24"/>
                    <w:szCs w:val="24"/>
                  </w:rPr>
                </m:ctrlPr>
              </m:e>
              <m:sub>
                <m:r>
                  <m:rPr/>
                  <w:rPr>
                    <w:rFonts w:ascii="Cambria Math" w:hAnsi="Cambria Math"/>
                    <w:sz w:val="24"/>
                    <w:szCs w:val="24"/>
                  </w:rPr>
                  <m:t>1</m:t>
                </m:r>
                <m:ctrlPr>
                  <w:rPr>
                    <w:rFonts w:ascii="Cambria Math" w:hAnsi="Cambria Math"/>
                    <w:bCs/>
                    <w:sz w:val="24"/>
                    <w:szCs w:val="24"/>
                  </w:rPr>
                </m:ctrlPr>
              </m:sub>
            </m:sSub>
            <m:ctrlPr>
              <w:rPr>
                <w:rFonts w:ascii="Cambria Math" w:hAnsi="Cambria Math"/>
                <w:sz w:val="24"/>
                <w:szCs w:val="24"/>
              </w:rPr>
            </m:ctrlPr>
          </m:num>
          <m:den>
            <m:r>
              <m:rPr>
                <m:sty m:val="p"/>
              </m:rPr>
              <w:rPr>
                <w:rFonts w:ascii="Cambria Math" w:hAnsi="Cambria Math"/>
                <w:sz w:val="24"/>
                <w:szCs w:val="24"/>
              </w:rPr>
              <m:t>k</m:t>
            </m:r>
            <m:ctrlPr>
              <w:rPr>
                <w:rFonts w:ascii="Cambria Math" w:hAnsi="Cambria Math"/>
                <w:sz w:val="24"/>
                <w:szCs w:val="24"/>
              </w:rPr>
            </m:ctrlPr>
          </m:den>
        </m:f>
        <m:r>
          <m:rPr/>
          <w:rPr>
            <w:rStyle w:val="73"/>
            <w:rFonts w:ascii="Cambria Math" w:hAnsi="Cambria Math"/>
            <w:color w:val="404040"/>
            <w:sz w:val="24"/>
            <w:szCs w:val="24"/>
            <w:shd w:val="clear" w:color="auto" w:fill="FFFFFF"/>
          </w:rPr>
          <m:t xml:space="preserve">≈ </m:t>
        </m:r>
        <m:r>
          <m:rPr>
            <m:sty m:val="p"/>
          </m:rPr>
          <w:rPr>
            <w:rFonts w:ascii="Cambria Math" w:hAnsi="Cambria Math"/>
            <w:sz w:val="24"/>
            <w:szCs w:val="24"/>
          </w:rPr>
          <m:t>0.51μm=0.51</m:t>
        </m:r>
        <m:r>
          <m:rPr>
            <m:sty m:val="p"/>
          </m:rPr>
          <w:rPr>
            <w:rFonts w:hint="eastAsia"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hint="eastAsia" w:ascii="Cambria Math" w:hAnsi="Cambria Math"/>
            <w:sz w:val="24"/>
            <w:szCs w:val="24"/>
          </w:rPr>
          <m:t>m</m:t>
        </m:r>
      </m:oMath>
      <w:r>
        <w:rPr>
          <w:sz w:val="24"/>
          <w:szCs w:val="24"/>
        </w:rPr>
        <w:tab/>
      </w:r>
      <w:r>
        <w:rPr>
          <w:sz w:val="24"/>
          <w:szCs w:val="24"/>
        </w:rPr>
        <w:t>（4）</w:t>
      </w:r>
    </w:p>
    <w:p w14:paraId="24B411B6">
      <w:pPr>
        <w:tabs>
          <w:tab w:val="center" w:pos="4150"/>
          <w:tab w:val="right" w:pos="10103"/>
        </w:tabs>
        <w:spacing w:line="360" w:lineRule="auto"/>
        <w:ind w:firstLine="240" w:firstLineChars="100"/>
        <w:rPr>
          <w:sz w:val="24"/>
          <w:szCs w:val="24"/>
        </w:rPr>
      </w:pPr>
      <w:r>
        <w:rPr>
          <w:sz w:val="24"/>
          <w:szCs w:val="24"/>
        </w:rPr>
        <w:tab/>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bCs/>
                    <w:sz w:val="24"/>
                    <w:szCs w:val="24"/>
                  </w:rPr>
                </m:ctrlPr>
              </m:sSubPr>
              <m:e>
                <m:r>
                  <m:rPr/>
                  <w:rPr>
                    <w:rFonts w:ascii="Cambria Math" w:hAnsi="Cambria Math"/>
                    <w:sz w:val="24"/>
                    <w:szCs w:val="24"/>
                  </w:rPr>
                  <m:t>S</m:t>
                </m:r>
                <m:ctrlPr>
                  <w:rPr>
                    <w:rFonts w:ascii="Cambria Math" w:hAnsi="Cambria Math"/>
                    <w:bCs/>
                    <w:sz w:val="24"/>
                    <w:szCs w:val="24"/>
                  </w:rPr>
                </m:ctrlPr>
              </m:e>
              <m:sub>
                <m:r>
                  <m:rPr/>
                  <w:rPr>
                    <w:rFonts w:ascii="Cambria Math" w:hAnsi="Cambria Math"/>
                    <w:sz w:val="24"/>
                    <w:szCs w:val="24"/>
                  </w:rPr>
                  <m:t>1</m:t>
                </m:r>
                <m:ctrlPr>
                  <w:rPr>
                    <w:rFonts w:ascii="Cambria Math" w:hAnsi="Cambria Math"/>
                    <w:bCs/>
                    <w:sz w:val="24"/>
                    <w:szCs w:val="24"/>
                  </w:rPr>
                </m:ctrlPr>
              </m:sub>
            </m:sSub>
            <m:ctrlPr>
              <w:rPr>
                <w:rFonts w:ascii="Cambria Math" w:hAnsi="Cambria Math"/>
                <w:sz w:val="24"/>
                <w:szCs w:val="24"/>
              </w:rPr>
            </m:ctrlPr>
          </m:num>
          <m:den>
            <m:rad>
              <m:radPr>
                <m:degHide m:val="1"/>
                <m:ctrlPr>
                  <w:rPr>
                    <w:rFonts w:ascii="Cambria Math" w:hAnsi="Cambria Math"/>
                    <w:i/>
                    <w:sz w:val="22"/>
                    <w:szCs w:val="22"/>
                  </w:rPr>
                </m:ctrlPr>
              </m:radPr>
              <m:deg>
                <m:ctrlPr>
                  <w:rPr>
                    <w:rFonts w:ascii="Cambria Math" w:hAnsi="Cambria Math"/>
                    <w:i/>
                    <w:sz w:val="22"/>
                    <w:szCs w:val="22"/>
                  </w:rPr>
                </m:ctrlPr>
              </m:deg>
              <m:e>
                <m:r>
                  <m:rPr/>
                  <w:rPr>
                    <w:rFonts w:ascii="Cambria Math" w:hAnsi="Cambria Math"/>
                    <w:sz w:val="22"/>
                    <w:szCs w:val="22"/>
                  </w:rPr>
                  <m:t>3</m:t>
                </m:r>
                <m:ctrlPr>
                  <w:rPr>
                    <w:rFonts w:ascii="Cambria Math" w:hAnsi="Cambria Math"/>
                    <w:i/>
                    <w:sz w:val="22"/>
                    <w:szCs w:val="22"/>
                  </w:rPr>
                </m:ctrlPr>
              </m:e>
            </m:rad>
            <m:ctrlPr>
              <w:rPr>
                <w:rFonts w:ascii="Cambria Math" w:hAnsi="Cambria Math"/>
                <w:sz w:val="24"/>
                <w:szCs w:val="24"/>
              </w:rPr>
            </m:ctrlPr>
          </m:den>
        </m:f>
        <m:r>
          <m:rPr/>
          <w:rPr>
            <w:rStyle w:val="73"/>
            <w:rFonts w:ascii="Cambria Math" w:hAnsi="Cambria Math"/>
            <w:color w:val="404040"/>
            <w:sz w:val="24"/>
            <w:szCs w:val="24"/>
            <w:shd w:val="clear" w:color="auto" w:fill="FFFFFF"/>
          </w:rPr>
          <m:t xml:space="preserve">≈ </m:t>
        </m:r>
        <m:r>
          <m:rPr>
            <m:sty m:val="p"/>
          </m:rPr>
          <w:rPr>
            <w:rFonts w:ascii="Cambria Math" w:hAnsi="Cambria Math"/>
            <w:sz w:val="24"/>
            <w:szCs w:val="24"/>
          </w:rPr>
          <m:t>0.02μm=0.02</m:t>
        </m:r>
        <m:r>
          <m:rPr>
            <m:sty m:val="p"/>
          </m:rPr>
          <w:rPr>
            <w:rFonts w:hint="eastAsia"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hint="eastAsia" w:ascii="Cambria Math" w:hAnsi="Cambria Math"/>
            <w:sz w:val="24"/>
            <w:szCs w:val="24"/>
          </w:rPr>
          <m:t>m</m:t>
        </m:r>
      </m:oMath>
      <w:r>
        <w:rPr>
          <w:sz w:val="24"/>
          <w:szCs w:val="24"/>
        </w:rPr>
        <w:tab/>
      </w:r>
      <w:r>
        <w:rPr>
          <w:sz w:val="24"/>
          <w:szCs w:val="24"/>
        </w:rPr>
        <w:t>（</w:t>
      </w:r>
      <w:r>
        <w:rPr>
          <w:rFonts w:hint="eastAsia"/>
          <w:sz w:val="24"/>
          <w:szCs w:val="24"/>
        </w:rPr>
        <w:t>5</w:t>
      </w:r>
      <w:r>
        <w:rPr>
          <w:sz w:val="24"/>
          <w:szCs w:val="24"/>
        </w:rPr>
        <w:t>）</w:t>
      </w:r>
    </w:p>
    <w:p w14:paraId="2B1844CB">
      <w:pPr>
        <w:spacing w:before="156" w:beforeLines="50" w:line="360" w:lineRule="auto"/>
        <w:rPr>
          <w:rFonts w:eastAsia="仿宋"/>
          <w:sz w:val="24"/>
          <w:szCs w:val="24"/>
        </w:rPr>
      </w:pPr>
      <w:r>
        <w:rPr>
          <w:rFonts w:eastAsia="仿宋"/>
          <w:sz w:val="24"/>
          <w:szCs w:val="24"/>
        </w:rPr>
        <w:t>A.7.3合成不确定度</w:t>
      </w:r>
    </w:p>
    <w:p w14:paraId="5D13E128">
      <w:pPr>
        <w:spacing w:line="360" w:lineRule="auto"/>
        <w:ind w:firstLine="480" w:firstLineChars="200"/>
        <w:rPr>
          <w:rStyle w:val="23"/>
          <w:rFonts w:ascii="Times New Roman" w:hAnsi="Times New Roman"/>
          <w:szCs w:val="20"/>
        </w:rPr>
      </w:pPr>
      <w:r>
        <w:rPr>
          <w:rStyle w:val="23"/>
          <w:rFonts w:ascii="Times New Roman" w:hAnsi="Times New Roman"/>
          <w:szCs w:val="20"/>
        </w:rPr>
        <w:t>对光谱共焦传感器自身不确定度与标准激光干涉仪的不确定度进行合成，得到间接被校准光谱共焦传感器的合成标准不确定度：</w:t>
      </w:r>
    </w:p>
    <w:p w14:paraId="5EB1AB53">
      <w:pPr>
        <w:tabs>
          <w:tab w:val="center" w:pos="4150"/>
          <w:tab w:val="right" w:pos="10103"/>
        </w:tabs>
        <w:spacing w:line="360" w:lineRule="auto"/>
        <w:ind w:firstLine="480" w:firstLineChars="200"/>
        <w:rPr>
          <w:sz w:val="24"/>
          <w:szCs w:val="24"/>
        </w:rPr>
      </w:pPr>
      <w:r>
        <w:rPr>
          <w:sz w:val="24"/>
          <w:szCs w:val="24"/>
        </w:rPr>
        <w:tab/>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d0</m:t>
            </m:r>
            <m:ctrlPr>
              <w:rPr>
                <w:rFonts w:ascii="Cambria Math" w:hAnsi="Cambria Math"/>
                <w:sz w:val="24"/>
                <w:szCs w:val="24"/>
              </w:rPr>
            </m:ctrlPr>
          </m:sub>
        </m:sSub>
        <m:r>
          <m:rPr>
            <m:sty m:val="p"/>
          </m:rPr>
          <w:rPr>
            <w:rFonts w:ascii="Cambria Math" w:hAnsi="Cambria Math"/>
            <w:sz w:val="24"/>
            <w:szCs w:val="24"/>
          </w:rPr>
          <m:t>=</m:t>
        </m:r>
        <m:rad>
          <m:radPr>
            <m:degHide m:val="1"/>
            <m:ctrlPr>
              <w:rPr>
                <w:rStyle w:val="23"/>
                <w:rFonts w:ascii="Cambria Math" w:hAnsi="Cambria Math"/>
                <w:i/>
                <w:szCs w:val="24"/>
              </w:rPr>
            </m:ctrlPr>
          </m:radPr>
          <m:deg>
            <m:ctrlPr>
              <w:rPr>
                <w:rStyle w:val="23"/>
                <w:rFonts w:ascii="Cambria Math" w:hAnsi="Cambria Math"/>
                <w:i/>
                <w:szCs w:val="24"/>
              </w:rPr>
            </m:ctrlPr>
          </m:deg>
          <m:e>
            <m:sSubSup>
              <m:sSubSupPr>
                <m:ctrlPr>
                  <w:rPr>
                    <w:rStyle w:val="23"/>
                    <w:rFonts w:ascii="Cambria Math" w:hAnsi="Cambria Math"/>
                    <w:i/>
                    <w:szCs w:val="24"/>
                  </w:rPr>
                </m:ctrlPr>
              </m:sSubSupPr>
              <m:e>
                <m:r>
                  <m:rPr/>
                  <w:rPr>
                    <w:rStyle w:val="23"/>
                    <w:rFonts w:ascii="Cambria Math" w:hAnsi="Cambria Math"/>
                    <w:szCs w:val="24"/>
                  </w:rPr>
                  <m:t>u</m:t>
                </m:r>
                <m:ctrlPr>
                  <w:rPr>
                    <w:rStyle w:val="23"/>
                    <w:rFonts w:ascii="Cambria Math" w:hAnsi="Cambria Math"/>
                    <w:i/>
                    <w:szCs w:val="24"/>
                  </w:rPr>
                </m:ctrlPr>
              </m:e>
              <m:sub>
                <m:r>
                  <m:rPr/>
                  <w:rPr>
                    <w:rStyle w:val="23"/>
                    <w:rFonts w:ascii="Cambria Math" w:hAnsi="Cambria Math"/>
                    <w:szCs w:val="24"/>
                  </w:rPr>
                  <m:t>1</m:t>
                </m:r>
                <m:ctrlPr>
                  <w:rPr>
                    <w:rStyle w:val="23"/>
                    <w:rFonts w:ascii="Cambria Math" w:hAnsi="Cambria Math"/>
                    <w:i/>
                    <w:szCs w:val="24"/>
                  </w:rPr>
                </m:ctrlPr>
              </m:sub>
              <m:sup>
                <m:r>
                  <m:rPr/>
                  <w:rPr>
                    <w:rStyle w:val="23"/>
                    <w:rFonts w:ascii="Cambria Math" w:hAnsi="Cambria Math"/>
                    <w:szCs w:val="24"/>
                  </w:rPr>
                  <m:t>2</m:t>
                </m:r>
                <m:ctrlPr>
                  <w:rPr>
                    <w:rStyle w:val="23"/>
                    <w:rFonts w:ascii="Cambria Math" w:hAnsi="Cambria Math"/>
                    <w:i/>
                    <w:szCs w:val="24"/>
                  </w:rPr>
                </m:ctrlPr>
              </m:sup>
            </m:sSubSup>
            <m:r>
              <m:rPr/>
              <w:rPr>
                <w:rStyle w:val="23"/>
                <w:rFonts w:ascii="Cambria Math" w:hAnsi="Cambria Math"/>
                <w:szCs w:val="24"/>
              </w:rPr>
              <m:t>+</m:t>
            </m:r>
            <m:sSubSup>
              <m:sSubSupPr>
                <m:ctrlPr>
                  <w:rPr>
                    <w:rStyle w:val="23"/>
                    <w:rFonts w:ascii="Cambria Math" w:hAnsi="Cambria Math"/>
                    <w:i/>
                    <w:szCs w:val="24"/>
                  </w:rPr>
                </m:ctrlPr>
              </m:sSubSupPr>
              <m:e>
                <m:r>
                  <m:rPr/>
                  <w:rPr>
                    <w:rStyle w:val="23"/>
                    <w:rFonts w:ascii="Cambria Math" w:hAnsi="Cambria Math"/>
                    <w:szCs w:val="24"/>
                  </w:rPr>
                  <m:t>u</m:t>
                </m:r>
                <m:ctrlPr>
                  <w:rPr>
                    <w:rStyle w:val="23"/>
                    <w:rFonts w:ascii="Cambria Math" w:hAnsi="Cambria Math"/>
                    <w:i/>
                    <w:szCs w:val="24"/>
                  </w:rPr>
                </m:ctrlPr>
              </m:e>
              <m:sub>
                <m:r>
                  <m:rPr/>
                  <w:rPr>
                    <w:rStyle w:val="23"/>
                    <w:rFonts w:ascii="Cambria Math" w:hAnsi="Cambria Math"/>
                    <w:szCs w:val="24"/>
                  </w:rPr>
                  <m:t>2</m:t>
                </m:r>
                <m:ctrlPr>
                  <w:rPr>
                    <w:rStyle w:val="23"/>
                    <w:rFonts w:ascii="Cambria Math" w:hAnsi="Cambria Math"/>
                    <w:i/>
                    <w:szCs w:val="24"/>
                  </w:rPr>
                </m:ctrlPr>
              </m:sub>
              <m:sup>
                <m:r>
                  <m:rPr/>
                  <w:rPr>
                    <w:rStyle w:val="23"/>
                    <w:rFonts w:ascii="Cambria Math" w:hAnsi="Cambria Math"/>
                    <w:szCs w:val="24"/>
                  </w:rPr>
                  <m:t>2</m:t>
                </m:r>
                <m:ctrlPr>
                  <w:rPr>
                    <w:rStyle w:val="23"/>
                    <w:rFonts w:ascii="Cambria Math" w:hAnsi="Cambria Math"/>
                    <w:i/>
                    <w:szCs w:val="24"/>
                  </w:rPr>
                </m:ctrlPr>
              </m:sup>
            </m:sSubSup>
            <m:ctrlPr>
              <w:rPr>
                <w:rStyle w:val="23"/>
                <w:rFonts w:ascii="Cambria Math" w:hAnsi="Cambria Math"/>
                <w:i/>
                <w:szCs w:val="24"/>
              </w:rPr>
            </m:ctrlPr>
          </m:e>
        </m:rad>
        <m:r>
          <m:rPr/>
          <w:rPr>
            <w:rStyle w:val="73"/>
            <w:rFonts w:ascii="Cambria Math" w:hAnsi="Cambria Math"/>
            <w:color w:val="404040"/>
            <w:sz w:val="24"/>
            <w:szCs w:val="24"/>
            <w:shd w:val="clear" w:color="auto" w:fill="FFFFFF"/>
          </w:rPr>
          <m:t xml:space="preserve">≈ </m:t>
        </m:r>
        <m:r>
          <m:rPr/>
          <w:rPr>
            <w:rStyle w:val="23"/>
            <w:rFonts w:ascii="Cambria Math" w:hAnsi="Cambria Math"/>
            <w:szCs w:val="24"/>
          </w:rPr>
          <m:t>0.51</m:t>
        </m:r>
        <m:r>
          <m:rPr>
            <m:sty m:val="p"/>
          </m:rPr>
          <w:rPr>
            <w:rFonts w:ascii="Cambria Math" w:hAnsi="Cambria Math"/>
            <w:sz w:val="24"/>
            <w:szCs w:val="24"/>
          </w:rPr>
          <m:t>μm</m:t>
        </m:r>
        <m:r>
          <m:rPr/>
          <w:rPr>
            <w:rFonts w:ascii="Cambria Math" w:hAnsi="Cambria Math"/>
            <w:sz w:val="24"/>
            <w:szCs w:val="24"/>
          </w:rPr>
          <m:t>=0.51</m:t>
        </m:r>
        <m:r>
          <m:rPr>
            <m:sty m:val="p"/>
          </m:rPr>
          <w:rPr>
            <w:rFonts w:hint="eastAsia"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hint="eastAsia" w:ascii="Cambria Math" w:hAnsi="Cambria Math"/>
            <w:sz w:val="24"/>
            <w:szCs w:val="24"/>
          </w:rPr>
          <m:t>m</m:t>
        </m:r>
      </m:oMath>
      <w:r>
        <w:rPr>
          <w:sz w:val="24"/>
          <w:szCs w:val="24"/>
        </w:rPr>
        <w:tab/>
      </w:r>
      <w:r>
        <w:rPr>
          <w:sz w:val="24"/>
          <w:szCs w:val="24"/>
        </w:rPr>
        <w:t>（</w:t>
      </w:r>
      <w:r>
        <w:rPr>
          <w:rFonts w:hint="eastAsia"/>
          <w:sz w:val="24"/>
          <w:szCs w:val="24"/>
        </w:rPr>
        <w:t>6</w:t>
      </w:r>
      <w:r>
        <w:rPr>
          <w:sz w:val="24"/>
          <w:szCs w:val="24"/>
        </w:rPr>
        <w:t>）</w:t>
      </w:r>
    </w:p>
    <w:p w14:paraId="6106694A">
      <w:pPr>
        <w:spacing w:before="156" w:beforeLines="50" w:line="360" w:lineRule="auto"/>
        <w:rPr>
          <w:rFonts w:eastAsia="仿宋"/>
          <w:sz w:val="24"/>
          <w:szCs w:val="24"/>
        </w:rPr>
      </w:pPr>
      <w:r>
        <w:rPr>
          <w:rFonts w:eastAsia="仿宋"/>
          <w:sz w:val="24"/>
          <w:szCs w:val="24"/>
        </w:rPr>
        <w:t>A.7.4确定扩展不确定度</w:t>
      </w:r>
    </w:p>
    <w:p w14:paraId="4E02296D">
      <w:pPr>
        <w:spacing w:line="360" w:lineRule="auto"/>
        <w:ind w:firstLine="480" w:firstLineChars="200"/>
        <w:rPr>
          <w:rStyle w:val="23"/>
          <w:rFonts w:ascii="Times New Roman" w:hAnsi="Times New Roman"/>
          <w:szCs w:val="20"/>
        </w:rPr>
      </w:pPr>
      <w:r>
        <w:rPr>
          <w:rStyle w:val="23"/>
          <w:rFonts w:ascii="Times New Roman" w:hAnsi="Times New Roman"/>
          <w:szCs w:val="20"/>
        </w:rPr>
        <w:t>取包含因子</w:t>
      </w:r>
      <w:r>
        <w:rPr>
          <w:rStyle w:val="23"/>
          <w:rFonts w:ascii="Cambria Math" w:hAnsi="Cambria Math" w:cs="Cambria Math"/>
          <w:szCs w:val="20"/>
        </w:rPr>
        <w:t>𝑘</w:t>
      </w:r>
      <w:r>
        <w:rPr>
          <w:rStyle w:val="23"/>
          <w:rFonts w:ascii="Times New Roman" w:hAnsi="Times New Roman"/>
          <w:szCs w:val="20"/>
        </w:rPr>
        <w:t>=2（置信水平约95%），则扩展不确定度为：</w:t>
      </w:r>
    </w:p>
    <w:p w14:paraId="43FC29DE">
      <w:pPr>
        <w:tabs>
          <w:tab w:val="center" w:pos="4150"/>
          <w:tab w:val="right" w:pos="10103"/>
        </w:tabs>
        <w:spacing w:line="360" w:lineRule="auto"/>
        <w:ind w:firstLine="480" w:firstLineChars="200"/>
        <w:rPr>
          <w:rStyle w:val="23"/>
          <w:rFonts w:ascii="Times New Roman" w:hAnsi="Times New Roman"/>
          <w:szCs w:val="24"/>
        </w:rPr>
      </w:pPr>
      <w:r>
        <w:rPr>
          <w:rStyle w:val="70"/>
          <w:iCs/>
          <w:color w:val="404040"/>
          <w:sz w:val="24"/>
          <w:szCs w:val="24"/>
          <w:shd w:val="clear" w:color="auto" w:fill="FFFFFF"/>
        </w:rPr>
        <w:tab/>
      </w:r>
      <m:oMath>
        <m:r>
          <m:rPr/>
          <w:rPr>
            <w:rStyle w:val="70"/>
            <w:rFonts w:ascii="Cambria Math" w:hAnsi="Cambria Math"/>
            <w:color w:val="404040"/>
            <w:sz w:val="24"/>
            <w:szCs w:val="24"/>
            <w:shd w:val="clear" w:color="auto" w:fill="FFFFFF"/>
          </w:rPr>
          <m:t>U=</m:t>
        </m:r>
        <m:sSub>
          <m:sSubPr>
            <m:ctrlPr>
              <w:rPr>
                <w:rFonts w:ascii="Cambria Math" w:hAnsi="Cambria Math"/>
                <w:sz w:val="24"/>
                <w:szCs w:val="24"/>
              </w:rPr>
            </m:ctrlPr>
          </m:sSubPr>
          <m:e>
            <m:r>
              <m:rPr/>
              <w:rPr>
                <w:rFonts w:ascii="Cambria Math" w:hAnsi="Cambria Math"/>
                <w:sz w:val="24"/>
                <w:szCs w:val="24"/>
              </w:rPr>
              <m:t>k·u</m:t>
            </m:r>
            <m:ctrlPr>
              <w:rPr>
                <w:rFonts w:ascii="Cambria Math" w:hAnsi="Cambria Math"/>
                <w:sz w:val="24"/>
                <w:szCs w:val="24"/>
              </w:rPr>
            </m:ctrlPr>
          </m:e>
          <m:sub>
            <m:r>
              <m:rPr/>
              <w:rPr>
                <w:rFonts w:ascii="Cambria Math" w:hAnsi="Cambria Math"/>
                <w:sz w:val="24"/>
                <w:szCs w:val="24"/>
              </w:rPr>
              <m:t>d0</m:t>
            </m:r>
            <m:ctrlPr>
              <w:rPr>
                <w:rFonts w:ascii="Cambria Math" w:hAnsi="Cambria Math"/>
                <w:sz w:val="24"/>
                <w:szCs w:val="24"/>
              </w:rPr>
            </m:ctrlPr>
          </m:sub>
        </m:sSub>
        <m:r>
          <m:rPr/>
          <w:rPr>
            <w:rStyle w:val="70"/>
            <w:rFonts w:ascii="Cambria Math" w:hAnsi="Cambria Math"/>
            <w:color w:val="404040"/>
            <w:sz w:val="24"/>
            <w:szCs w:val="24"/>
            <w:shd w:val="clear" w:color="auto" w:fill="FFFFFF"/>
          </w:rPr>
          <m:t>=2</m:t>
        </m:r>
        <m:r>
          <m:rPr/>
          <w:rPr>
            <w:rStyle w:val="73"/>
            <w:rFonts w:ascii="Cambria Math" w:hAnsi="Cambria Math"/>
            <w:color w:val="404040"/>
            <w:sz w:val="24"/>
            <w:szCs w:val="24"/>
            <w:shd w:val="clear" w:color="auto" w:fill="FFFFFF"/>
          </w:rPr>
          <m:t>×0.51=1.02</m:t>
        </m:r>
        <m:r>
          <m:rPr>
            <m:sty m:val="p"/>
          </m:rPr>
          <w:rPr>
            <w:rFonts w:ascii="Cambria Math" w:hAnsi="Cambria Math"/>
            <w:sz w:val="24"/>
            <w:szCs w:val="24"/>
            <w:vertAlign w:val="subscript"/>
          </w:rPr>
          <m:t>μm</m:t>
        </m:r>
        <m:r>
          <m:rPr/>
          <w:rPr>
            <w:rFonts w:ascii="Cambria Math" w:hAnsi="Cambria Math"/>
            <w:sz w:val="24"/>
            <w:szCs w:val="24"/>
            <w:vertAlign w:val="subscript"/>
          </w:rPr>
          <m:t>=1.02</m:t>
        </m:r>
        <m:r>
          <m:rPr>
            <m:sty m:val="p"/>
          </m:rPr>
          <w:rPr>
            <w:rFonts w:hint="eastAsia"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hint="eastAsia" w:ascii="Cambria Math" w:hAnsi="Cambria Math"/>
            <w:sz w:val="24"/>
            <w:szCs w:val="24"/>
          </w:rPr>
          <m:t>m</m:t>
        </m:r>
      </m:oMath>
      <w:r>
        <w:rPr>
          <w:sz w:val="24"/>
          <w:szCs w:val="24"/>
          <w:vertAlign w:val="subscript"/>
        </w:rPr>
        <w:tab/>
      </w:r>
      <w:r>
        <w:rPr>
          <w:sz w:val="24"/>
          <w:szCs w:val="24"/>
        </w:rPr>
        <w:t>（</w:t>
      </w:r>
      <w:r>
        <w:rPr>
          <w:rFonts w:hint="eastAsia"/>
          <w:sz w:val="24"/>
          <w:szCs w:val="24"/>
        </w:rPr>
        <w:t>7</w:t>
      </w:r>
      <w:r>
        <w:rPr>
          <w:sz w:val="24"/>
          <w:szCs w:val="24"/>
        </w:rPr>
        <w:t>）</w:t>
      </w:r>
    </w:p>
    <w:p w14:paraId="3BDEF95F">
      <w:pPr>
        <w:spacing w:before="156" w:beforeLines="50" w:line="360" w:lineRule="auto"/>
        <w:rPr>
          <w:rFonts w:eastAsia="仿宋"/>
          <w:sz w:val="24"/>
          <w:szCs w:val="24"/>
        </w:rPr>
      </w:pPr>
      <w:r>
        <w:rPr>
          <w:rFonts w:eastAsia="仿宋"/>
          <w:sz w:val="24"/>
          <w:szCs w:val="24"/>
        </w:rPr>
        <w:t>A.7.5报告测量结果</w:t>
      </w:r>
    </w:p>
    <w:p w14:paraId="7411958A">
      <w:pPr>
        <w:spacing w:line="360" w:lineRule="auto"/>
        <w:ind w:firstLine="480" w:firstLineChars="200"/>
        <w:rPr>
          <w:rStyle w:val="23"/>
          <w:rFonts w:ascii="Times New Roman" w:hAnsi="Times New Roman"/>
          <w:szCs w:val="20"/>
        </w:rPr>
      </w:pPr>
      <w:r>
        <w:rPr>
          <w:rStyle w:val="23"/>
          <w:rFonts w:ascii="Times New Roman" w:hAnsi="Times New Roman"/>
          <w:szCs w:val="20"/>
        </w:rPr>
        <w:t>光谱共焦传感器的测量值为：</w:t>
      </w:r>
    </w:p>
    <w:p w14:paraId="61A2BBC7">
      <w:pPr>
        <w:tabs>
          <w:tab w:val="center" w:pos="4150"/>
          <w:tab w:val="right" w:pos="10103"/>
        </w:tabs>
        <w:spacing w:line="360" w:lineRule="auto"/>
        <w:jc w:val="center"/>
        <w:rPr>
          <w:i/>
          <w:iCs/>
          <w:sz w:val="24"/>
          <w:szCs w:val="24"/>
        </w:rPr>
      </w:pPr>
      <w:r>
        <w:rPr>
          <w:i/>
          <w:iCs/>
          <w:sz w:val="24"/>
          <w:szCs w:val="24"/>
        </w:rPr>
        <w:tab/>
      </w:r>
      <w:r>
        <w:rPr>
          <w:i/>
          <w:iCs/>
          <w:sz w:val="24"/>
          <w:szCs w:val="24"/>
        </w:rPr>
        <w:t xml:space="preserve">d = </w:t>
      </w:r>
      <m:oMath>
        <m:acc>
          <m:accPr>
            <m:chr m:val="̅"/>
            <m:ctrlPr>
              <w:rPr>
                <w:rStyle w:val="23"/>
                <w:rFonts w:ascii="Cambria Math" w:hAnsi="Cambria Math"/>
                <w:i/>
                <w:iCs/>
                <w:szCs w:val="24"/>
              </w:rPr>
            </m:ctrlPr>
          </m:accPr>
          <m:e>
            <m:r>
              <m:rPr/>
              <w:rPr>
                <w:rStyle w:val="23"/>
                <w:rFonts w:ascii="Cambria Math" w:hAnsi="Cambria Math"/>
                <w:szCs w:val="24"/>
              </w:rPr>
              <m:t>d</m:t>
            </m:r>
            <m:ctrlPr>
              <w:rPr>
                <w:rStyle w:val="23"/>
                <w:rFonts w:ascii="Cambria Math" w:hAnsi="Cambria Math"/>
                <w:i/>
                <w:iCs/>
                <w:szCs w:val="24"/>
              </w:rPr>
            </m:ctrlPr>
          </m:e>
        </m:acc>
      </m:oMath>
      <w:r>
        <w:rPr>
          <w:rStyle w:val="23"/>
          <w:rFonts w:ascii="Times New Roman" w:hAnsi="Times New Roman"/>
          <w:i/>
          <w:iCs/>
          <w:szCs w:val="24"/>
        </w:rPr>
        <w:t>=</w:t>
      </w:r>
      <m:oMath>
        <m:r>
          <m:rPr/>
          <w:rPr>
            <w:rStyle w:val="73"/>
            <w:rFonts w:ascii="Cambria Math" w:hAnsi="Cambria Math"/>
            <w:color w:val="404040"/>
            <w:sz w:val="24"/>
            <w:szCs w:val="24"/>
            <w:shd w:val="clear" w:color="auto" w:fill="FFFFFF"/>
          </w:rPr>
          <m:t>500.50μm=500.50</m:t>
        </m:r>
        <m:r>
          <m:rPr>
            <m:sty m:val="p"/>
          </m:rPr>
          <w:rPr>
            <w:rFonts w:hint="eastAsia"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hint="eastAsia" w:ascii="Cambria Math" w:hAnsi="Cambria Math"/>
            <w:sz w:val="24"/>
            <w:szCs w:val="24"/>
          </w:rPr>
          <m:t>m</m:t>
        </m:r>
      </m:oMath>
      <w:r>
        <w:rPr>
          <w:rStyle w:val="73"/>
          <w:i/>
          <w:color w:val="404040"/>
          <w:sz w:val="24"/>
          <w:szCs w:val="24"/>
          <w:shd w:val="clear" w:color="auto" w:fill="FFFFFF"/>
        </w:rPr>
        <w:tab/>
      </w:r>
      <w:r>
        <w:rPr>
          <w:rStyle w:val="23"/>
          <w:rFonts w:ascii="Times New Roman" w:hAnsi="Times New Roman"/>
          <w:szCs w:val="24"/>
        </w:rPr>
        <w:t>（</w:t>
      </w:r>
      <w:r>
        <w:rPr>
          <w:rFonts w:hint="eastAsia"/>
          <w:sz w:val="24"/>
          <w:szCs w:val="24"/>
        </w:rPr>
        <w:t>8</w:t>
      </w:r>
      <w:r>
        <w:rPr>
          <w:sz w:val="24"/>
          <w:szCs w:val="24"/>
        </w:rPr>
        <w:t>）</w:t>
      </w:r>
    </w:p>
    <w:p w14:paraId="3B0AA9D2">
      <w:pPr>
        <w:spacing w:line="360" w:lineRule="auto"/>
        <w:ind w:firstLine="480" w:firstLineChars="200"/>
        <w:rPr>
          <w:rStyle w:val="23"/>
          <w:rFonts w:ascii="Times New Roman" w:hAnsi="Times New Roman"/>
          <w:szCs w:val="20"/>
        </w:rPr>
      </w:pPr>
      <w:r>
        <w:rPr>
          <w:rStyle w:val="23"/>
          <w:rFonts w:ascii="Times New Roman" w:hAnsi="Times New Roman"/>
          <w:szCs w:val="20"/>
        </w:rPr>
        <w:t>最终报告为：</w:t>
      </w:r>
    </w:p>
    <w:p w14:paraId="23219FAD">
      <w:pPr>
        <w:tabs>
          <w:tab w:val="center" w:pos="4150"/>
          <w:tab w:val="right" w:pos="10103"/>
        </w:tabs>
        <w:spacing w:line="360" w:lineRule="auto"/>
        <w:jc w:val="center"/>
        <w:rPr>
          <w:i/>
          <w:iCs/>
          <w:sz w:val="24"/>
          <w:szCs w:val="24"/>
        </w:rPr>
      </w:pPr>
      <w:r>
        <w:rPr>
          <w:i/>
          <w:iCs/>
          <w:sz w:val="24"/>
          <w:szCs w:val="24"/>
        </w:rPr>
        <w:tab/>
      </w:r>
      <w:r>
        <w:rPr>
          <w:i/>
          <w:iCs/>
          <w:sz w:val="24"/>
          <w:szCs w:val="24"/>
        </w:rPr>
        <w:t>d =</w:t>
      </w:r>
      <m:oMath>
        <m:r>
          <m:rPr/>
          <w:rPr>
            <w:rStyle w:val="73"/>
            <w:rFonts w:ascii="Cambria Math" w:hAnsi="Cambria Math"/>
            <w:color w:val="404040"/>
            <w:sz w:val="24"/>
            <w:szCs w:val="24"/>
            <w:shd w:val="clear" w:color="auto" w:fill="FFFFFF"/>
          </w:rPr>
          <m:t xml:space="preserve"> ( </m:t>
        </m:r>
      </m:oMath>
      <w:r>
        <w:rPr>
          <w:sz w:val="24"/>
          <w:szCs w:val="24"/>
        </w:rPr>
        <w:t>500.</w:t>
      </w:r>
      <w:r>
        <w:rPr>
          <w:rFonts w:hint="eastAsia"/>
          <w:sz w:val="24"/>
          <w:szCs w:val="24"/>
        </w:rPr>
        <w:t>5</w:t>
      </w:r>
      <w:r>
        <w:rPr>
          <w:sz w:val="24"/>
          <w:szCs w:val="24"/>
        </w:rPr>
        <w:t>0 ±</w:t>
      </w:r>
      <w:r>
        <w:rPr>
          <w:rFonts w:hint="eastAsia"/>
          <w:sz w:val="24"/>
          <w:szCs w:val="24"/>
        </w:rPr>
        <w:t>1.02</w:t>
      </w:r>
      <w:r>
        <w:rPr>
          <w:sz w:val="24"/>
          <w:szCs w:val="24"/>
        </w:rPr>
        <w:t>)</w:t>
      </w:r>
      <w:r>
        <w:rPr>
          <w:iCs/>
          <w:sz w:val="24"/>
          <w:szCs w:val="24"/>
          <w:vertAlign w:val="subscript"/>
        </w:rPr>
        <w:t xml:space="preserve"> </w:t>
      </w:r>
      <m:oMath>
        <m:r>
          <m:rPr>
            <m:sty m:val="p"/>
          </m:rPr>
          <w:rPr>
            <w:rFonts w:hint="eastAsia"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−6</m:t>
            </m:r>
            <m:ctrlPr>
              <w:rPr>
                <w:rFonts w:ascii="Cambria Math" w:hAnsi="Cambria Math"/>
                <w:sz w:val="24"/>
                <w:szCs w:val="24"/>
              </w:rPr>
            </m:ctrlPr>
          </m:sup>
        </m:sSup>
        <m:r>
          <m:rPr>
            <m:sty m:val="p"/>
          </m:rPr>
          <w:rPr>
            <w:rFonts w:ascii="Cambria Math" w:hAnsi="Cambria Math"/>
            <w:sz w:val="24"/>
            <w:szCs w:val="24"/>
            <w:vertAlign w:val="subscript"/>
          </w:rPr>
          <m:t>m</m:t>
        </m:r>
      </m:oMath>
      <w:r>
        <w:rPr>
          <w:rStyle w:val="23"/>
          <w:rFonts w:ascii="Times New Roman" w:hAnsi="Times New Roman"/>
          <w:szCs w:val="20"/>
        </w:rPr>
        <w:t>，</w:t>
      </w:r>
      <w:r>
        <w:rPr>
          <w:rStyle w:val="23"/>
          <w:rFonts w:ascii="Cambria Math" w:hAnsi="Cambria Math" w:cs="Cambria Math"/>
          <w:szCs w:val="20"/>
        </w:rPr>
        <w:t>𝑘</w:t>
      </w:r>
      <w:r>
        <w:rPr>
          <w:rStyle w:val="23"/>
          <w:rFonts w:ascii="Times New Roman" w:hAnsi="Times New Roman"/>
          <w:szCs w:val="20"/>
        </w:rPr>
        <w:t>=2（置信水平约95%）</w:t>
      </w:r>
      <w:r>
        <w:rPr>
          <w:rStyle w:val="23"/>
          <w:rFonts w:ascii="Times New Roman" w:hAnsi="Times New Roman"/>
          <w:szCs w:val="20"/>
        </w:rPr>
        <w:tab/>
      </w:r>
      <w:r>
        <w:rPr>
          <w:rStyle w:val="23"/>
          <w:rFonts w:ascii="Times New Roman" w:hAnsi="Times New Roman"/>
          <w:szCs w:val="24"/>
        </w:rPr>
        <w:t>（</w:t>
      </w:r>
      <w:r>
        <w:rPr>
          <w:rFonts w:hint="eastAsia"/>
          <w:sz w:val="24"/>
          <w:szCs w:val="24"/>
        </w:rPr>
        <w:t>9</w:t>
      </w:r>
      <w:r>
        <w:rPr>
          <w:sz w:val="24"/>
          <w:szCs w:val="24"/>
        </w:rPr>
        <w:t>）</w:t>
      </w:r>
    </w:p>
    <w:p w14:paraId="5BF78723">
      <w:pPr>
        <w:widowControl/>
        <w:jc w:val="left"/>
        <w:rPr>
          <w:sz w:val="24"/>
          <w:szCs w:val="24"/>
        </w:rPr>
      </w:pPr>
      <w:r>
        <w:rPr>
          <w:sz w:val="24"/>
          <w:szCs w:val="24"/>
        </w:rPr>
        <w:br w:type="page"/>
      </w:r>
    </w:p>
    <w:p w14:paraId="42083B02">
      <w:pPr>
        <w:pStyle w:val="2"/>
        <w:spacing w:before="312" w:beforeLines="100"/>
        <w:ind w:firstLine="0" w:firstLineChars="0"/>
        <w:rPr>
          <w:b/>
          <w:bCs/>
          <w:sz w:val="24"/>
          <w:szCs w:val="24"/>
        </w:rPr>
      </w:pPr>
      <w:bookmarkStart w:id="41" w:name="_Toc197985358"/>
      <w:r>
        <w:rPr>
          <w:b/>
          <w:bCs/>
          <w:sz w:val="24"/>
          <w:szCs w:val="24"/>
        </w:rPr>
        <w:t>附录B</w:t>
      </w:r>
      <w:bookmarkEnd w:id="41"/>
    </w:p>
    <w:p w14:paraId="50CC87C7">
      <w:pPr>
        <w:jc w:val="center"/>
        <w:rPr>
          <w:rFonts w:eastAsia="黑体"/>
          <w:sz w:val="28"/>
          <w:szCs w:val="28"/>
        </w:rPr>
      </w:pPr>
      <w:r>
        <w:rPr>
          <w:rFonts w:eastAsia="黑体"/>
          <w:sz w:val="28"/>
          <w:szCs w:val="28"/>
        </w:rPr>
        <w:t>试验机系统切向刚度计量校准装置</w:t>
      </w:r>
      <w:r>
        <w:rPr>
          <w:rFonts w:eastAsia="黑体"/>
          <w:sz w:val="32"/>
          <w:szCs w:val="32"/>
        </w:rPr>
        <w:t>-</w:t>
      </w:r>
      <w:r>
        <w:rPr>
          <w:rFonts w:eastAsia="黑体"/>
          <w:sz w:val="28"/>
          <w:szCs w:val="28"/>
        </w:rPr>
        <w:t>力传感器</w:t>
      </w:r>
    </w:p>
    <w:p w14:paraId="5181C525">
      <w:pPr>
        <w:jc w:val="center"/>
        <w:rPr>
          <w:rFonts w:eastAsia="黑体"/>
          <w:sz w:val="32"/>
          <w:szCs w:val="32"/>
        </w:rPr>
      </w:pPr>
      <w:r>
        <w:rPr>
          <w:rFonts w:eastAsia="黑体"/>
          <w:sz w:val="28"/>
          <w:szCs w:val="28"/>
        </w:rPr>
        <w:t>校准方法及不确定度评定</w:t>
      </w:r>
    </w:p>
    <w:p w14:paraId="7A74ECD6">
      <w:pPr>
        <w:spacing w:before="312" w:beforeLines="100" w:line="360" w:lineRule="auto"/>
        <w:rPr>
          <w:b/>
          <w:bCs/>
          <w:sz w:val="24"/>
          <w:szCs w:val="24"/>
        </w:rPr>
      </w:pPr>
      <w:bookmarkStart w:id="42" w:name="_Toc197300384"/>
      <w:bookmarkStart w:id="43" w:name="_Toc197299455"/>
      <w:bookmarkStart w:id="44" w:name="_Toc197299756"/>
      <w:r>
        <w:rPr>
          <w:b/>
          <w:bCs/>
          <w:sz w:val="24"/>
          <w:szCs w:val="24"/>
        </w:rPr>
        <w:t>B.1测试要求</w:t>
      </w:r>
      <w:bookmarkEnd w:id="42"/>
      <w:bookmarkEnd w:id="43"/>
      <w:bookmarkEnd w:id="44"/>
    </w:p>
    <w:p w14:paraId="58A6D188">
      <w:pPr>
        <w:spacing w:line="360" w:lineRule="auto"/>
        <w:ind w:firstLine="480" w:firstLineChars="200"/>
        <w:rPr>
          <w:sz w:val="24"/>
          <w:szCs w:val="24"/>
        </w:rPr>
      </w:pPr>
      <w:bookmarkStart w:id="45" w:name="_Toc197299456"/>
      <w:bookmarkStart w:id="46" w:name="_Toc197300385"/>
      <w:bookmarkStart w:id="47" w:name="_Toc197299757"/>
      <w:r>
        <w:rPr>
          <w:sz w:val="24"/>
          <w:szCs w:val="24"/>
        </w:rPr>
        <w:t>测力传感器是一种常见的传感器，</w:t>
      </w:r>
      <w:r>
        <w:rPr>
          <w:rFonts w:hint="eastAsia"/>
          <w:sz w:val="24"/>
          <w:szCs w:val="24"/>
        </w:rPr>
        <w:t>主要用于</w:t>
      </w:r>
      <w:r>
        <w:rPr>
          <w:sz w:val="24"/>
          <w:szCs w:val="24"/>
        </w:rPr>
        <w:t>测量力的大小和方向，是实现自动化控制和</w:t>
      </w:r>
      <w:r>
        <w:rPr>
          <w:rFonts w:hint="eastAsia"/>
          <w:sz w:val="24"/>
          <w:szCs w:val="24"/>
        </w:rPr>
        <w:t>计量校准</w:t>
      </w:r>
      <w:r>
        <w:rPr>
          <w:sz w:val="24"/>
          <w:szCs w:val="24"/>
        </w:rPr>
        <w:t>的重要工具。测力传感器的种类很多，包括应变式、压电式、磁致伸缩式以及振动式等不同测力传感器。由于在系统切向刚度计量校准过程中，需要对法向载荷加载杆施加恒力，因此采用应变式测力传感器最佳。</w:t>
      </w:r>
      <w:r>
        <w:rPr>
          <w:rFonts w:hint="eastAsia"/>
          <w:sz w:val="24"/>
          <w:szCs w:val="24"/>
        </w:rPr>
        <w:t>同时，在</w:t>
      </w:r>
      <w:r>
        <w:rPr>
          <w:sz w:val="24"/>
          <w:szCs w:val="24"/>
        </w:rPr>
        <w:t>系统切向刚度计量校准过程中，对法向载荷加载杆施加恒力的不确定度会直接影响计量校准获得的系统切向刚度值，因此需要对应变式测力传感器单独进行测试校准。</w:t>
      </w:r>
    </w:p>
    <w:p w14:paraId="12C136DC">
      <w:pPr>
        <w:spacing w:before="312" w:beforeLines="100" w:line="360" w:lineRule="auto"/>
        <w:rPr>
          <w:b/>
          <w:bCs/>
          <w:sz w:val="24"/>
          <w:szCs w:val="24"/>
        </w:rPr>
      </w:pPr>
      <w:r>
        <w:rPr>
          <w:b/>
          <w:bCs/>
          <w:sz w:val="24"/>
          <w:szCs w:val="24"/>
        </w:rPr>
        <w:t>B.2被测仪器技术指标</w:t>
      </w:r>
      <w:bookmarkEnd w:id="45"/>
      <w:bookmarkEnd w:id="46"/>
      <w:bookmarkEnd w:id="47"/>
    </w:p>
    <w:p w14:paraId="19625158">
      <w:pPr>
        <w:pStyle w:val="56"/>
        <w:numPr>
          <w:ilvl w:val="0"/>
          <w:numId w:val="2"/>
        </w:numPr>
        <w:spacing w:line="360" w:lineRule="auto"/>
        <w:ind w:firstLineChars="0"/>
        <w:rPr>
          <w:sz w:val="24"/>
          <w:szCs w:val="24"/>
        </w:rPr>
      </w:pPr>
      <w:r>
        <w:rPr>
          <w:sz w:val="24"/>
          <w:szCs w:val="24"/>
        </w:rPr>
        <w:t>实现施加恒力的数据读取、输出与调整；</w:t>
      </w:r>
    </w:p>
    <w:p w14:paraId="3E72545F">
      <w:pPr>
        <w:pStyle w:val="56"/>
        <w:numPr>
          <w:ilvl w:val="0"/>
          <w:numId w:val="2"/>
        </w:numPr>
        <w:spacing w:line="360" w:lineRule="auto"/>
        <w:ind w:firstLineChars="0"/>
        <w:rPr>
          <w:sz w:val="24"/>
          <w:szCs w:val="24"/>
        </w:rPr>
      </w:pPr>
      <w:r>
        <w:rPr>
          <w:sz w:val="24"/>
          <w:szCs w:val="24"/>
        </w:rPr>
        <w:t>恒力测量范围为±200N，测量不确定度优于±1N。</w:t>
      </w:r>
      <w:bookmarkStart w:id="48" w:name="_Toc197299457"/>
      <w:bookmarkStart w:id="49" w:name="_Toc197299758"/>
      <w:bookmarkStart w:id="50" w:name="_Toc197300386"/>
    </w:p>
    <w:p w14:paraId="431B9029">
      <w:pPr>
        <w:spacing w:before="312" w:beforeLines="100" w:line="360" w:lineRule="auto"/>
        <w:rPr>
          <w:b/>
          <w:bCs/>
          <w:sz w:val="24"/>
          <w:szCs w:val="24"/>
        </w:rPr>
      </w:pPr>
      <w:r>
        <w:rPr>
          <w:b/>
          <w:bCs/>
          <w:sz w:val="24"/>
          <w:szCs w:val="24"/>
        </w:rPr>
        <w:t>B.3本次测试所使用的测量设备</w:t>
      </w:r>
      <w:bookmarkEnd w:id="48"/>
      <w:bookmarkEnd w:id="49"/>
      <w:bookmarkEnd w:id="50"/>
    </w:p>
    <w:p w14:paraId="137651F5">
      <w:pPr>
        <w:spacing w:line="360" w:lineRule="auto"/>
        <w:ind w:firstLine="480" w:firstLineChars="200"/>
        <w:rPr>
          <w:sz w:val="24"/>
          <w:szCs w:val="24"/>
        </w:rPr>
      </w:pPr>
      <w:r>
        <w:rPr>
          <w:sz w:val="24"/>
          <w:szCs w:val="24"/>
        </w:rPr>
        <w:t>由于校准装置力传感器量程范围为±200N，因此选用1-</w:t>
      </w:r>
      <w:r>
        <w:rPr>
          <w:rFonts w:hint="eastAsia"/>
          <w:sz w:val="24"/>
          <w:szCs w:val="24"/>
        </w:rPr>
        <w:t>1.0k</w:t>
      </w:r>
      <w:r>
        <w:rPr>
          <w:sz w:val="24"/>
          <w:szCs w:val="24"/>
        </w:rPr>
        <w:t>N，0.</w:t>
      </w:r>
      <w:r>
        <w:rPr>
          <w:rFonts w:hint="eastAsia"/>
          <w:sz w:val="24"/>
          <w:szCs w:val="24"/>
        </w:rPr>
        <w:t>0</w:t>
      </w:r>
      <w:r>
        <w:rPr>
          <w:sz w:val="24"/>
          <w:szCs w:val="24"/>
        </w:rPr>
        <w:t>1级的标准测力仪对待测力传感器进行标定，标准测力仪的参数指标如表1所示。</w:t>
      </w:r>
    </w:p>
    <w:p w14:paraId="3D32EE68">
      <w:pPr>
        <w:spacing w:line="360" w:lineRule="auto"/>
        <w:jc w:val="center"/>
        <w:rPr>
          <w:b/>
          <w:bCs/>
        </w:rPr>
      </w:pPr>
      <w:bookmarkStart w:id="51" w:name="OLE_LINK6"/>
      <w:r>
        <w:rPr>
          <w:b/>
          <w:bCs/>
        </w:rPr>
        <w:t>表B.1. 测量设备及参数指标</w:t>
      </w:r>
    </w:p>
    <w:bookmarkEnd w:id="51"/>
    <w:tbl>
      <w:tblPr>
        <w:tblStyle w:val="68"/>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1"/>
        <w:gridCol w:w="1701"/>
        <w:gridCol w:w="1985"/>
        <w:gridCol w:w="3118"/>
      </w:tblGrid>
      <w:tr w14:paraId="1681B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1701" w:type="dxa"/>
            <w:vAlign w:val="center"/>
          </w:tcPr>
          <w:p w14:paraId="65F0F3C8">
            <w:pPr>
              <w:pStyle w:val="69"/>
              <w:spacing w:before="24" w:line="244" w:lineRule="auto"/>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名称</w:t>
            </w:r>
          </w:p>
        </w:tc>
        <w:tc>
          <w:tcPr>
            <w:tcW w:w="1701" w:type="dxa"/>
            <w:vAlign w:val="center"/>
          </w:tcPr>
          <w:p w14:paraId="67C51DFD">
            <w:pPr>
              <w:pStyle w:val="69"/>
              <w:spacing w:before="24" w:line="244" w:lineRule="auto"/>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证书号/型号</w:t>
            </w:r>
          </w:p>
        </w:tc>
        <w:tc>
          <w:tcPr>
            <w:tcW w:w="1985" w:type="dxa"/>
            <w:vAlign w:val="center"/>
          </w:tcPr>
          <w:p w14:paraId="101C670D">
            <w:pPr>
              <w:pStyle w:val="69"/>
              <w:spacing w:before="24" w:line="244" w:lineRule="auto"/>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测量范围</w:t>
            </w:r>
          </w:p>
        </w:tc>
        <w:tc>
          <w:tcPr>
            <w:tcW w:w="3118" w:type="dxa"/>
            <w:vAlign w:val="center"/>
          </w:tcPr>
          <w:p w14:paraId="2CAA2608">
            <w:pPr>
              <w:pStyle w:val="69"/>
              <w:spacing w:before="24" w:line="244" w:lineRule="auto"/>
              <w:ind w:left="116" w:right="222"/>
              <w:jc w:val="center"/>
              <w:rPr>
                <w:rFonts w:ascii="Times New Roman" w:hAnsi="Times New Roman" w:eastAsia="宋体" w:cs="Times New Roman"/>
                <w:color w:val="auto"/>
                <w:spacing w:val="1"/>
                <w:sz w:val="21"/>
                <w:szCs w:val="21"/>
                <w:lang w:eastAsia="zh-CN"/>
              </w:rPr>
            </w:pPr>
            <w:r>
              <w:rPr>
                <w:rFonts w:ascii="Times New Roman" w:hAnsi="Times New Roman" w:eastAsia="宋体" w:cs="Times New Roman"/>
                <w:color w:val="auto"/>
                <w:spacing w:val="1"/>
                <w:sz w:val="21"/>
                <w:szCs w:val="21"/>
                <w:lang w:eastAsia="zh-CN"/>
              </w:rPr>
              <w:t>不确定度或准确等级</w:t>
            </w:r>
          </w:p>
        </w:tc>
      </w:tr>
      <w:tr w14:paraId="726FD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1701" w:type="dxa"/>
            <w:vAlign w:val="center"/>
          </w:tcPr>
          <w:p w14:paraId="0A92B286">
            <w:pPr>
              <w:pStyle w:val="69"/>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标准测力仪</w:t>
            </w:r>
          </w:p>
        </w:tc>
        <w:tc>
          <w:tcPr>
            <w:tcW w:w="1701" w:type="dxa"/>
            <w:vAlign w:val="center"/>
          </w:tcPr>
          <w:p w14:paraId="38D781F7">
            <w:pPr>
              <w:pStyle w:val="69"/>
              <w:jc w:val="center"/>
              <w:rPr>
                <w:rFonts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Ⅱ1-005</w:t>
            </w:r>
          </w:p>
        </w:tc>
        <w:tc>
          <w:tcPr>
            <w:tcW w:w="1985" w:type="dxa"/>
            <w:vAlign w:val="center"/>
          </w:tcPr>
          <w:p w14:paraId="3EA1BEEA">
            <w:pPr>
              <w:pStyle w:val="69"/>
              <w:jc w:val="center"/>
              <w:rPr>
                <w:rFonts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0.01</w:t>
            </w:r>
            <w:r>
              <w:rPr>
                <w:rFonts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eastAsia="zh-CN"/>
              </w:rPr>
              <w:t>1.0k</w:t>
            </w:r>
            <w:r>
              <w:rPr>
                <w:rFonts w:ascii="Times New Roman" w:hAnsi="Times New Roman" w:eastAsia="宋体" w:cs="Times New Roman"/>
                <w:color w:val="auto"/>
                <w:sz w:val="21"/>
                <w:szCs w:val="21"/>
                <w:lang w:eastAsia="zh-CN"/>
              </w:rPr>
              <w:t>N</w:t>
            </w:r>
          </w:p>
        </w:tc>
        <w:tc>
          <w:tcPr>
            <w:tcW w:w="3118" w:type="dxa"/>
            <w:vAlign w:val="center"/>
          </w:tcPr>
          <w:p w14:paraId="5E25FD35">
            <w:pPr>
              <w:pStyle w:val="69"/>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0.</w:t>
            </w:r>
            <w:r>
              <w:rPr>
                <w:rFonts w:hint="eastAsia" w:ascii="Times New Roman" w:hAnsi="Times New Roman" w:eastAsia="宋体" w:cs="Times New Roman"/>
                <w:color w:val="auto"/>
                <w:sz w:val="21"/>
                <w:szCs w:val="21"/>
                <w:lang w:eastAsia="zh-CN"/>
              </w:rPr>
              <w:t>0</w:t>
            </w:r>
            <w:r>
              <w:rPr>
                <w:rFonts w:ascii="Times New Roman" w:hAnsi="Times New Roman" w:eastAsia="宋体" w:cs="Times New Roman"/>
                <w:color w:val="auto"/>
                <w:sz w:val="21"/>
                <w:szCs w:val="21"/>
                <w:lang w:eastAsia="zh-CN"/>
              </w:rPr>
              <w:t>1级</w:t>
            </w:r>
          </w:p>
        </w:tc>
      </w:tr>
    </w:tbl>
    <w:p w14:paraId="201F2972">
      <w:pPr>
        <w:spacing w:before="312" w:beforeLines="100" w:line="360" w:lineRule="auto"/>
        <w:rPr>
          <w:b/>
          <w:bCs/>
          <w:sz w:val="24"/>
          <w:szCs w:val="24"/>
        </w:rPr>
      </w:pPr>
      <w:bookmarkStart w:id="52" w:name="_Toc197299458"/>
      <w:bookmarkStart w:id="53" w:name="_Toc197300387"/>
      <w:bookmarkStart w:id="54" w:name="_Toc197299759"/>
      <w:r>
        <w:rPr>
          <w:b/>
          <w:bCs/>
          <w:sz w:val="24"/>
          <w:szCs w:val="24"/>
        </w:rPr>
        <w:t>B.4测试环境要求</w:t>
      </w:r>
      <w:bookmarkEnd w:id="52"/>
      <w:bookmarkEnd w:id="53"/>
      <w:bookmarkEnd w:id="54"/>
    </w:p>
    <w:p w14:paraId="6685CE7B">
      <w:pPr>
        <w:pStyle w:val="56"/>
        <w:numPr>
          <w:ilvl w:val="0"/>
          <w:numId w:val="3"/>
        </w:numPr>
        <w:spacing w:line="360" w:lineRule="auto"/>
        <w:ind w:firstLineChars="0"/>
        <w:jc w:val="left"/>
        <w:rPr>
          <w:sz w:val="24"/>
          <w:szCs w:val="28"/>
        </w:rPr>
      </w:pPr>
      <w:r>
        <w:rPr>
          <w:sz w:val="24"/>
          <w:szCs w:val="28"/>
        </w:rPr>
        <w:t>环境温度、湿度在测试过程中保持稳定；</w:t>
      </w:r>
    </w:p>
    <w:p w14:paraId="364F3D3E">
      <w:pPr>
        <w:pStyle w:val="56"/>
        <w:numPr>
          <w:ilvl w:val="0"/>
          <w:numId w:val="3"/>
        </w:numPr>
        <w:spacing w:line="360" w:lineRule="auto"/>
        <w:ind w:firstLineChars="0"/>
        <w:jc w:val="left"/>
        <w:rPr>
          <w:sz w:val="24"/>
          <w:szCs w:val="28"/>
        </w:rPr>
      </w:pPr>
      <w:r>
        <w:rPr>
          <w:sz w:val="24"/>
          <w:szCs w:val="28"/>
        </w:rPr>
        <w:t>光照强度：500±50lux；</w:t>
      </w:r>
    </w:p>
    <w:p w14:paraId="643C0941">
      <w:pPr>
        <w:pStyle w:val="56"/>
        <w:numPr>
          <w:ilvl w:val="0"/>
          <w:numId w:val="3"/>
        </w:numPr>
        <w:spacing w:line="360" w:lineRule="auto"/>
        <w:ind w:firstLineChars="0"/>
        <w:jc w:val="left"/>
        <w:rPr>
          <w:sz w:val="24"/>
          <w:szCs w:val="28"/>
        </w:rPr>
      </w:pPr>
      <w:r>
        <w:rPr>
          <w:sz w:val="24"/>
          <w:szCs w:val="28"/>
        </w:rPr>
        <w:t>测试环境中的污染、振动、电磁干扰等对测量结果无影响。</w:t>
      </w:r>
      <w:bookmarkStart w:id="55" w:name="_Toc197299459"/>
      <w:bookmarkStart w:id="56" w:name="_Toc197299760"/>
      <w:bookmarkStart w:id="57" w:name="_Toc197300388"/>
    </w:p>
    <w:p w14:paraId="6E3BF759">
      <w:pPr>
        <w:spacing w:before="312" w:beforeLines="100" w:line="360" w:lineRule="auto"/>
        <w:rPr>
          <w:b/>
          <w:bCs/>
          <w:sz w:val="24"/>
          <w:szCs w:val="24"/>
        </w:rPr>
      </w:pPr>
      <w:r>
        <w:rPr>
          <w:b/>
          <w:bCs/>
          <w:sz w:val="24"/>
          <w:szCs w:val="24"/>
        </w:rPr>
        <w:t>B.5</w:t>
      </w:r>
      <w:bookmarkEnd w:id="55"/>
      <w:bookmarkEnd w:id="56"/>
      <w:bookmarkEnd w:id="57"/>
      <w:r>
        <w:rPr>
          <w:b/>
          <w:bCs/>
          <w:sz w:val="24"/>
          <w:szCs w:val="28"/>
        </w:rPr>
        <w:t>校准装置力传感器测试方案</w:t>
      </w:r>
    </w:p>
    <w:p w14:paraId="0D8D1163">
      <w:pPr>
        <w:spacing w:line="360" w:lineRule="auto"/>
        <w:ind w:firstLine="480" w:firstLineChars="200"/>
        <w:rPr>
          <w:sz w:val="24"/>
          <w:szCs w:val="24"/>
        </w:rPr>
      </w:pPr>
      <w:r>
        <w:rPr>
          <w:sz w:val="24"/>
          <w:szCs w:val="24"/>
        </w:rPr>
        <w:t>采用0.</w:t>
      </w:r>
      <w:r>
        <w:rPr>
          <w:rFonts w:hint="eastAsia"/>
          <w:sz w:val="24"/>
          <w:szCs w:val="24"/>
        </w:rPr>
        <w:t>0</w:t>
      </w:r>
      <w:r>
        <w:rPr>
          <w:sz w:val="24"/>
          <w:szCs w:val="24"/>
        </w:rPr>
        <w:t>1级的标准测力仪对校准装置力传感器进行标定，示意图如图3所示，具体步骤如下：</w:t>
      </w:r>
    </w:p>
    <w:p w14:paraId="77E0C6C6">
      <w:pPr>
        <w:spacing w:line="360" w:lineRule="auto"/>
        <w:ind w:firstLine="480" w:firstLineChars="200"/>
        <w:rPr>
          <w:sz w:val="24"/>
          <w:szCs w:val="24"/>
        </w:rPr>
      </w:pPr>
      <w:r>
        <w:rPr>
          <w:sz w:val="24"/>
          <w:szCs w:val="24"/>
        </w:rPr>
        <w:t>（1）将标准测力仪放置于待测力传感器的末端，调整标准测力仪姿态使得其端面与待测力传感器端面平行；</w:t>
      </w:r>
    </w:p>
    <w:p w14:paraId="05368289">
      <w:pPr>
        <w:spacing w:line="360" w:lineRule="auto"/>
        <w:ind w:firstLine="480" w:firstLineChars="200"/>
        <w:rPr>
          <w:sz w:val="24"/>
          <w:szCs w:val="24"/>
        </w:rPr>
      </w:pPr>
      <w:r>
        <w:rPr>
          <w:sz w:val="24"/>
          <w:szCs w:val="24"/>
        </w:rPr>
        <w:t>（2）驱动校准装置电机，使标准测力仪读数为50N，并记录待测</w:t>
      </w:r>
      <w:r>
        <w:rPr>
          <w:rFonts w:hint="eastAsia"/>
          <w:sz w:val="24"/>
          <w:szCs w:val="24"/>
        </w:rPr>
        <w:t>力</w:t>
      </w:r>
      <w:r>
        <w:rPr>
          <w:sz w:val="24"/>
          <w:szCs w:val="24"/>
        </w:rPr>
        <w:t>传感器的测量值；</w:t>
      </w:r>
    </w:p>
    <w:p w14:paraId="173A64C4">
      <w:pPr>
        <w:spacing w:line="360" w:lineRule="auto"/>
        <w:ind w:firstLine="480" w:firstLineChars="200"/>
        <w:rPr>
          <w:sz w:val="24"/>
          <w:szCs w:val="24"/>
        </w:rPr>
      </w:pPr>
      <w:r>
        <w:rPr>
          <w:sz w:val="24"/>
          <w:szCs w:val="24"/>
        </w:rPr>
        <w:t>（3）最后进行数据统计，按“实测值-参考值=示值误差”，得到待测力传感器量程范围内，不同测试力下的测量误差，并校准。</w:t>
      </w:r>
    </w:p>
    <w:p w14:paraId="36386003">
      <w:pPr>
        <w:jc w:val="center"/>
        <w:rPr>
          <w:sz w:val="24"/>
          <w:szCs w:val="24"/>
        </w:rPr>
      </w:pPr>
      <w:r>
        <w:rPr>
          <w:sz w:val="24"/>
          <w:szCs w:val="24"/>
        </w:rPr>
        <w:drawing>
          <wp:inline distT="0" distB="0" distL="0" distR="0">
            <wp:extent cx="4032250" cy="1358265"/>
            <wp:effectExtent l="0" t="0" r="6350" b="0"/>
            <wp:docPr id="17757493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49345" name="图片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032776" cy="1358318"/>
                    </a:xfrm>
                    <a:prstGeom prst="rect">
                      <a:avLst/>
                    </a:prstGeom>
                  </pic:spPr>
                </pic:pic>
              </a:graphicData>
            </a:graphic>
          </wp:inline>
        </w:drawing>
      </w:r>
    </w:p>
    <w:p w14:paraId="3742D139">
      <w:pPr>
        <w:spacing w:line="360" w:lineRule="auto"/>
        <w:jc w:val="center"/>
      </w:pPr>
      <w:r>
        <w:t>图3 校准装置力传感器校准方案</w:t>
      </w:r>
    </w:p>
    <w:p w14:paraId="19614AF4">
      <w:pPr>
        <w:spacing w:before="312" w:beforeLines="100" w:line="360" w:lineRule="auto"/>
        <w:rPr>
          <w:b/>
          <w:bCs/>
          <w:sz w:val="24"/>
          <w:szCs w:val="24"/>
        </w:rPr>
      </w:pPr>
      <w:bookmarkStart w:id="58" w:name="_Toc197299460"/>
      <w:bookmarkStart w:id="59" w:name="_Toc197299761"/>
      <w:bookmarkStart w:id="60" w:name="_Toc197300389"/>
      <w:r>
        <w:rPr>
          <w:b/>
          <w:bCs/>
          <w:sz w:val="24"/>
          <w:szCs w:val="24"/>
        </w:rPr>
        <w:t>B.6测试结果</w:t>
      </w:r>
      <w:bookmarkEnd w:id="58"/>
      <w:bookmarkEnd w:id="59"/>
      <w:bookmarkEnd w:id="60"/>
    </w:p>
    <w:p w14:paraId="448544E9">
      <w:pPr>
        <w:spacing w:line="360" w:lineRule="auto"/>
        <w:rPr>
          <w:sz w:val="24"/>
          <w:szCs w:val="24"/>
        </w:rPr>
      </w:pPr>
      <w:r>
        <w:rPr>
          <w:sz w:val="24"/>
          <w:szCs w:val="24"/>
        </w:rPr>
        <w:t>力传感器测试结果如表B.2所示</w:t>
      </w:r>
    </w:p>
    <w:p w14:paraId="47B1896B">
      <w:pPr>
        <w:jc w:val="center"/>
        <w:rPr>
          <w:b/>
          <w:bCs/>
        </w:rPr>
      </w:pPr>
      <w:r>
        <w:rPr>
          <w:b/>
          <w:bCs/>
        </w:rPr>
        <w:t>表B.2 力传感器测试结果汇总</w:t>
      </w:r>
    </w:p>
    <w:tbl>
      <w:tblPr>
        <w:tblStyle w:val="21"/>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689"/>
        <w:gridCol w:w="696"/>
        <w:gridCol w:w="689"/>
        <w:gridCol w:w="827"/>
        <w:gridCol w:w="689"/>
        <w:gridCol w:w="689"/>
        <w:gridCol w:w="689"/>
        <w:gridCol w:w="689"/>
        <w:gridCol w:w="689"/>
        <w:gridCol w:w="689"/>
      </w:tblGrid>
      <w:tr w14:paraId="0B9A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Pr>
          <w:p w14:paraId="00F1A17F">
            <w:pPr>
              <w:jc w:val="center"/>
            </w:pPr>
            <w:r>
              <w:t>标准值（N）</w:t>
            </w:r>
          </w:p>
        </w:tc>
        <w:tc>
          <w:tcPr>
            <w:tcW w:w="689" w:type="dxa"/>
          </w:tcPr>
          <w:p w14:paraId="50CD2D86">
            <w:pPr>
              <w:jc w:val="center"/>
            </w:pPr>
            <w:r>
              <w:t>1</w:t>
            </w:r>
          </w:p>
        </w:tc>
        <w:tc>
          <w:tcPr>
            <w:tcW w:w="696" w:type="dxa"/>
          </w:tcPr>
          <w:p w14:paraId="6A5843D9">
            <w:pPr>
              <w:jc w:val="center"/>
            </w:pPr>
            <w:r>
              <w:t>2</w:t>
            </w:r>
          </w:p>
        </w:tc>
        <w:tc>
          <w:tcPr>
            <w:tcW w:w="689" w:type="dxa"/>
          </w:tcPr>
          <w:p w14:paraId="572FBCCA">
            <w:pPr>
              <w:jc w:val="center"/>
            </w:pPr>
            <w:r>
              <w:t>3</w:t>
            </w:r>
          </w:p>
        </w:tc>
        <w:tc>
          <w:tcPr>
            <w:tcW w:w="827" w:type="dxa"/>
          </w:tcPr>
          <w:p w14:paraId="5D6A6CDE">
            <w:pPr>
              <w:jc w:val="center"/>
            </w:pPr>
            <w:r>
              <w:t>4</w:t>
            </w:r>
          </w:p>
        </w:tc>
        <w:tc>
          <w:tcPr>
            <w:tcW w:w="689" w:type="dxa"/>
          </w:tcPr>
          <w:p w14:paraId="56DF7888">
            <w:pPr>
              <w:jc w:val="center"/>
            </w:pPr>
            <w:r>
              <w:t>5</w:t>
            </w:r>
          </w:p>
        </w:tc>
        <w:tc>
          <w:tcPr>
            <w:tcW w:w="689" w:type="dxa"/>
          </w:tcPr>
          <w:p w14:paraId="561FEB39">
            <w:pPr>
              <w:jc w:val="center"/>
            </w:pPr>
            <w:r>
              <w:t>6</w:t>
            </w:r>
          </w:p>
        </w:tc>
        <w:tc>
          <w:tcPr>
            <w:tcW w:w="689" w:type="dxa"/>
          </w:tcPr>
          <w:p w14:paraId="218FC02D">
            <w:pPr>
              <w:jc w:val="center"/>
            </w:pPr>
            <w:r>
              <w:t>7</w:t>
            </w:r>
          </w:p>
        </w:tc>
        <w:tc>
          <w:tcPr>
            <w:tcW w:w="689" w:type="dxa"/>
          </w:tcPr>
          <w:p w14:paraId="22CC495A">
            <w:pPr>
              <w:jc w:val="center"/>
            </w:pPr>
            <w:r>
              <w:t>8</w:t>
            </w:r>
          </w:p>
        </w:tc>
        <w:tc>
          <w:tcPr>
            <w:tcW w:w="689" w:type="dxa"/>
          </w:tcPr>
          <w:p w14:paraId="1226D4B8">
            <w:pPr>
              <w:jc w:val="center"/>
            </w:pPr>
            <w:r>
              <w:t>9</w:t>
            </w:r>
          </w:p>
        </w:tc>
        <w:tc>
          <w:tcPr>
            <w:tcW w:w="689" w:type="dxa"/>
          </w:tcPr>
          <w:p w14:paraId="76BB5435">
            <w:pPr>
              <w:jc w:val="center"/>
            </w:pPr>
            <w:r>
              <w:t>10</w:t>
            </w:r>
          </w:p>
        </w:tc>
      </w:tr>
      <w:tr w14:paraId="30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tcPr>
          <w:p w14:paraId="3E3D0AF9">
            <w:pPr>
              <w:jc w:val="center"/>
            </w:pPr>
            <w:r>
              <w:t>50</w:t>
            </w:r>
            <w:r>
              <w:rPr>
                <w:rFonts w:hint="eastAsia"/>
              </w:rPr>
              <w:t>.00</w:t>
            </w:r>
          </w:p>
        </w:tc>
        <w:tc>
          <w:tcPr>
            <w:tcW w:w="689" w:type="dxa"/>
          </w:tcPr>
          <w:p w14:paraId="46DAD9B5">
            <w:pPr>
              <w:jc w:val="center"/>
            </w:pPr>
            <w:r>
              <w:t>51.83</w:t>
            </w:r>
          </w:p>
        </w:tc>
        <w:tc>
          <w:tcPr>
            <w:tcW w:w="696" w:type="dxa"/>
          </w:tcPr>
          <w:p w14:paraId="54DEDA22">
            <w:pPr>
              <w:jc w:val="center"/>
            </w:pPr>
            <w:r>
              <w:t>50.79</w:t>
            </w:r>
          </w:p>
        </w:tc>
        <w:tc>
          <w:tcPr>
            <w:tcW w:w="689" w:type="dxa"/>
          </w:tcPr>
          <w:p w14:paraId="04631AFA">
            <w:pPr>
              <w:jc w:val="center"/>
            </w:pPr>
            <w:r>
              <w:rPr>
                <w:rFonts w:hint="eastAsia"/>
              </w:rPr>
              <w:t>50</w:t>
            </w:r>
            <w:r>
              <w:t>.</w:t>
            </w:r>
            <w:r>
              <w:rPr>
                <w:rFonts w:hint="eastAsia"/>
              </w:rPr>
              <w:t>6</w:t>
            </w:r>
            <w:r>
              <w:t>7</w:t>
            </w:r>
          </w:p>
        </w:tc>
        <w:tc>
          <w:tcPr>
            <w:tcW w:w="827" w:type="dxa"/>
          </w:tcPr>
          <w:p w14:paraId="690EAD61">
            <w:pPr>
              <w:jc w:val="center"/>
            </w:pPr>
            <w:r>
              <w:t>50.93</w:t>
            </w:r>
          </w:p>
        </w:tc>
        <w:tc>
          <w:tcPr>
            <w:tcW w:w="689" w:type="dxa"/>
          </w:tcPr>
          <w:p w14:paraId="731E43CB">
            <w:pPr>
              <w:jc w:val="center"/>
            </w:pPr>
            <w:r>
              <w:t>50.34</w:t>
            </w:r>
          </w:p>
        </w:tc>
        <w:tc>
          <w:tcPr>
            <w:tcW w:w="689" w:type="dxa"/>
          </w:tcPr>
          <w:p w14:paraId="6B1BAF9D">
            <w:pPr>
              <w:jc w:val="center"/>
            </w:pPr>
            <w:r>
              <w:rPr>
                <w:rFonts w:hint="eastAsia"/>
              </w:rPr>
              <w:t>50</w:t>
            </w:r>
            <w:r>
              <w:t>.</w:t>
            </w:r>
            <w:r>
              <w:rPr>
                <w:rFonts w:hint="eastAsia"/>
              </w:rPr>
              <w:t>9</w:t>
            </w:r>
            <w:r>
              <w:t>2</w:t>
            </w:r>
          </w:p>
        </w:tc>
        <w:tc>
          <w:tcPr>
            <w:tcW w:w="689" w:type="dxa"/>
          </w:tcPr>
          <w:p w14:paraId="202D1764">
            <w:pPr>
              <w:jc w:val="center"/>
            </w:pPr>
            <w:r>
              <w:rPr>
                <w:rFonts w:hint="eastAsia"/>
              </w:rPr>
              <w:t>50</w:t>
            </w:r>
            <w:r>
              <w:t>.</w:t>
            </w:r>
            <w:r>
              <w:rPr>
                <w:rFonts w:hint="eastAsia"/>
              </w:rPr>
              <w:t>9</w:t>
            </w:r>
            <w:r>
              <w:t>4</w:t>
            </w:r>
          </w:p>
        </w:tc>
        <w:tc>
          <w:tcPr>
            <w:tcW w:w="689" w:type="dxa"/>
          </w:tcPr>
          <w:p w14:paraId="7CE72CD1">
            <w:pPr>
              <w:jc w:val="center"/>
            </w:pPr>
            <w:r>
              <w:rPr>
                <w:rFonts w:hint="eastAsia"/>
              </w:rPr>
              <w:t>50</w:t>
            </w:r>
            <w:r>
              <w:t>.50</w:t>
            </w:r>
          </w:p>
        </w:tc>
        <w:tc>
          <w:tcPr>
            <w:tcW w:w="689" w:type="dxa"/>
          </w:tcPr>
          <w:p w14:paraId="4BAF57CB">
            <w:pPr>
              <w:jc w:val="center"/>
            </w:pPr>
            <w:r>
              <w:t>50.03</w:t>
            </w:r>
          </w:p>
        </w:tc>
        <w:tc>
          <w:tcPr>
            <w:tcW w:w="689" w:type="dxa"/>
          </w:tcPr>
          <w:p w14:paraId="20C7E8FB">
            <w:pPr>
              <w:jc w:val="center"/>
            </w:pPr>
            <w:r>
              <w:t>50.44</w:t>
            </w:r>
          </w:p>
        </w:tc>
      </w:tr>
    </w:tbl>
    <w:p w14:paraId="368EE53E">
      <w:pPr>
        <w:spacing w:before="312" w:beforeLines="100" w:line="360" w:lineRule="auto"/>
        <w:rPr>
          <w:b/>
          <w:bCs/>
          <w:sz w:val="24"/>
          <w:szCs w:val="24"/>
        </w:rPr>
      </w:pPr>
      <w:bookmarkStart w:id="61" w:name="_Toc197299762"/>
      <w:bookmarkStart w:id="62" w:name="_Toc197300390"/>
      <w:bookmarkStart w:id="63" w:name="_Toc197299461"/>
      <w:r>
        <w:rPr>
          <w:b/>
          <w:bCs/>
          <w:sz w:val="24"/>
          <w:szCs w:val="24"/>
        </w:rPr>
        <w:t>B.7不确定度评定</w:t>
      </w:r>
      <w:bookmarkEnd w:id="61"/>
      <w:bookmarkEnd w:id="62"/>
      <w:bookmarkEnd w:id="63"/>
    </w:p>
    <w:p w14:paraId="22FD3C7D">
      <w:pPr>
        <w:spacing w:before="156" w:beforeLines="50" w:line="360" w:lineRule="auto"/>
        <w:rPr>
          <w:rFonts w:eastAsia="仿宋"/>
          <w:sz w:val="24"/>
          <w:szCs w:val="24"/>
        </w:rPr>
      </w:pPr>
      <w:r>
        <w:rPr>
          <w:rFonts w:eastAsia="仿宋"/>
          <w:sz w:val="24"/>
          <w:szCs w:val="24"/>
        </w:rPr>
        <w:t>B.7.1不确定度来源分析</w:t>
      </w:r>
    </w:p>
    <w:p w14:paraId="68064D64">
      <w:pPr>
        <w:snapToGrid w:val="0"/>
        <w:spacing w:line="360" w:lineRule="auto"/>
        <w:ind w:firstLine="480" w:firstLineChars="200"/>
        <w:rPr>
          <w:sz w:val="24"/>
          <w:szCs w:val="24"/>
        </w:rPr>
      </w:pPr>
      <w:r>
        <w:rPr>
          <w:sz w:val="24"/>
          <w:szCs w:val="24"/>
        </w:rPr>
        <w:t>依次从被测对象、测量资源、环境条件等各方面对影响切向力直接测量值不确定度的来源进行分析，主要包括以下</w:t>
      </w:r>
      <w:r>
        <w:rPr>
          <w:rFonts w:hint="eastAsia"/>
          <w:sz w:val="24"/>
          <w:szCs w:val="24"/>
        </w:rPr>
        <w:t>6</w:t>
      </w:r>
      <w:r>
        <w:rPr>
          <w:sz w:val="24"/>
          <w:szCs w:val="24"/>
        </w:rPr>
        <w:t>个因素：</w:t>
      </w:r>
    </w:p>
    <w:p w14:paraId="54D3E831">
      <w:pPr>
        <w:pStyle w:val="56"/>
        <w:numPr>
          <w:ilvl w:val="0"/>
          <w:numId w:val="5"/>
        </w:numPr>
        <w:snapToGrid w:val="0"/>
        <w:spacing w:line="360" w:lineRule="auto"/>
        <w:ind w:firstLineChars="0"/>
        <w:rPr>
          <w:sz w:val="24"/>
          <w:szCs w:val="24"/>
        </w:rPr>
      </w:pPr>
      <w:r>
        <w:rPr>
          <w:sz w:val="24"/>
          <w:szCs w:val="24"/>
        </w:rPr>
        <w:t>力传感器测量结果不准确；</w:t>
      </w:r>
    </w:p>
    <w:p w14:paraId="607F8B19">
      <w:pPr>
        <w:pStyle w:val="56"/>
        <w:numPr>
          <w:ilvl w:val="0"/>
          <w:numId w:val="5"/>
        </w:numPr>
        <w:snapToGrid w:val="0"/>
        <w:spacing w:line="360" w:lineRule="auto"/>
        <w:ind w:firstLineChars="0"/>
        <w:rPr>
          <w:sz w:val="24"/>
          <w:szCs w:val="24"/>
        </w:rPr>
      </w:pPr>
      <w:r>
        <w:rPr>
          <w:sz w:val="24"/>
          <w:szCs w:val="24"/>
        </w:rPr>
        <w:t>标准测力仪的不确定度；</w:t>
      </w:r>
    </w:p>
    <w:p w14:paraId="18081C1F">
      <w:pPr>
        <w:snapToGrid w:val="0"/>
        <w:spacing w:line="360" w:lineRule="auto"/>
        <w:ind w:firstLine="480" w:firstLineChars="200"/>
        <w:rPr>
          <w:sz w:val="24"/>
          <w:szCs w:val="24"/>
        </w:rPr>
      </w:pPr>
      <w:r>
        <w:rPr>
          <w:sz w:val="24"/>
          <w:szCs w:val="24"/>
        </w:rPr>
        <w:t>3）力传感器的分辨力不足；</w:t>
      </w:r>
    </w:p>
    <w:p w14:paraId="0A2B832B">
      <w:pPr>
        <w:snapToGrid w:val="0"/>
        <w:spacing w:line="360" w:lineRule="auto"/>
        <w:ind w:firstLine="480" w:firstLineChars="200"/>
        <w:rPr>
          <w:sz w:val="24"/>
          <w:szCs w:val="24"/>
        </w:rPr>
      </w:pPr>
      <w:r>
        <w:rPr>
          <w:sz w:val="24"/>
          <w:szCs w:val="24"/>
        </w:rPr>
        <w:t>4）力传感器测量轴线与被测点轴线不对中引入的误差；</w:t>
      </w:r>
    </w:p>
    <w:p w14:paraId="4253BB0C">
      <w:pPr>
        <w:snapToGrid w:val="0"/>
        <w:spacing w:line="360" w:lineRule="auto"/>
        <w:ind w:firstLine="480" w:firstLineChars="200"/>
        <w:rPr>
          <w:sz w:val="24"/>
          <w:szCs w:val="24"/>
        </w:rPr>
      </w:pPr>
      <w:r>
        <w:rPr>
          <w:sz w:val="24"/>
          <w:szCs w:val="24"/>
        </w:rPr>
        <w:t>5）重复测量多次引入的误差；</w:t>
      </w:r>
    </w:p>
    <w:p w14:paraId="213B9E91">
      <w:pPr>
        <w:snapToGrid w:val="0"/>
        <w:spacing w:line="360" w:lineRule="auto"/>
        <w:ind w:firstLine="480" w:firstLineChars="200"/>
        <w:rPr>
          <w:sz w:val="24"/>
          <w:szCs w:val="24"/>
        </w:rPr>
      </w:pPr>
      <w:r>
        <w:rPr>
          <w:sz w:val="24"/>
          <w:szCs w:val="24"/>
        </w:rPr>
        <w:t>6）试验机机械结构随环境温湿度变化、尘降、气流扰动、环境振动等引入的误差，可忽略不计；</w:t>
      </w:r>
    </w:p>
    <w:p w14:paraId="073EE70A">
      <w:pPr>
        <w:snapToGrid w:val="0"/>
        <w:spacing w:line="360" w:lineRule="auto"/>
        <w:ind w:firstLine="480" w:firstLineChars="200"/>
        <w:rPr>
          <w:sz w:val="24"/>
          <w:szCs w:val="24"/>
        </w:rPr>
      </w:pPr>
      <w:r>
        <w:rPr>
          <w:sz w:val="24"/>
          <w:szCs w:val="24"/>
        </w:rPr>
        <w:t>对上述6个影响切向力测量准确性的因素进行分析：其中“1）、2）力传感器测量不准确、标准测力仪的不确定度”引起的误差无法忽略，且影响较大，需要对其引入的不确定分量进行评定；“3）力传感器分辨力”、“4）、5）测量轴线不对中”等因素引起的测量误差均能通过多次测量的重复性引入的误差来反映，需要对其引入的不确定分量进行评定；</w:t>
      </w:r>
    </w:p>
    <w:p w14:paraId="13320D41">
      <w:pPr>
        <w:snapToGrid w:val="0"/>
        <w:spacing w:line="360" w:lineRule="auto"/>
        <w:ind w:firstLine="480" w:firstLineChars="200"/>
        <w:rPr>
          <w:sz w:val="24"/>
          <w:szCs w:val="24"/>
        </w:rPr>
      </w:pPr>
      <w:r>
        <w:rPr>
          <w:sz w:val="24"/>
          <w:szCs w:val="24"/>
        </w:rPr>
        <w:t>因此，可以列出影响切向力测量不确定的来源，分别记为</w:t>
      </w:r>
      <m:oMath>
        <m:sSub>
          <m:sSubPr>
            <m:ctrlPr>
              <w:rPr>
                <w:rFonts w:ascii="Cambria Math" w:hAnsi="Cambria Math"/>
                <w:i/>
                <w:iCs/>
                <w:sz w:val="24"/>
                <w:szCs w:val="24"/>
              </w:rPr>
            </m:ctrlPr>
          </m:sSubPr>
          <m:e>
            <m:r>
              <m:rPr/>
              <w:rPr>
                <w:rFonts w:ascii="Cambria Math" w:hAnsi="Cambria Math"/>
                <w:sz w:val="24"/>
                <w:szCs w:val="24"/>
              </w:rPr>
              <m:t>u</m:t>
            </m:r>
            <m:ctrlPr>
              <w:rPr>
                <w:rFonts w:ascii="Cambria Math" w:hAnsi="Cambria Math"/>
                <w:i/>
                <w:iCs/>
                <w:sz w:val="24"/>
                <w:szCs w:val="24"/>
              </w:rPr>
            </m:ctrlPr>
          </m:e>
          <m:sub>
            <m:r>
              <m:rPr/>
              <w:rPr>
                <w:rFonts w:ascii="Cambria Math" w:hAnsi="Cambria Math"/>
                <w:sz w:val="24"/>
                <w:szCs w:val="24"/>
                <w:vertAlign w:val="subscript"/>
              </w:rPr>
              <m:t>F0</m:t>
            </m:r>
            <m:ctrlPr>
              <w:rPr>
                <w:rFonts w:ascii="Cambria Math" w:hAnsi="Cambria Math"/>
                <w:i/>
                <w:iCs/>
                <w:sz w:val="24"/>
                <w:szCs w:val="24"/>
              </w:rPr>
            </m:ctrlPr>
          </m:sub>
        </m:sSub>
      </m:oMath>
      <w:r>
        <w:rPr>
          <w:sz w:val="24"/>
          <w:szCs w:val="24"/>
        </w:rPr>
        <w:t>和</w:t>
      </w:r>
      <m:oMath>
        <m:sSub>
          <m:sSubPr>
            <m:ctrlPr>
              <w:rPr>
                <w:rFonts w:ascii="Cambria Math" w:hAnsi="Cambria Math"/>
                <w:i/>
                <w:iCs/>
                <w:sz w:val="24"/>
                <w:szCs w:val="24"/>
              </w:rPr>
            </m:ctrlPr>
          </m:sSubPr>
          <m:e>
            <m:r>
              <m:rPr/>
              <w:rPr>
                <w:rFonts w:ascii="Cambria Math" w:hAnsi="Cambria Math"/>
                <w:sz w:val="24"/>
                <w:szCs w:val="24"/>
              </w:rPr>
              <m:t>u</m:t>
            </m:r>
            <m:ctrlPr>
              <w:rPr>
                <w:rFonts w:ascii="Cambria Math" w:hAnsi="Cambria Math"/>
                <w:i/>
                <w:iCs/>
                <w:sz w:val="24"/>
                <w:szCs w:val="24"/>
              </w:rPr>
            </m:ctrlPr>
          </m:e>
          <m:sub>
            <m:r>
              <m:rPr/>
              <w:rPr>
                <w:rFonts w:ascii="Cambria Math" w:hAnsi="Cambria Math"/>
                <w:sz w:val="24"/>
                <w:szCs w:val="24"/>
                <w:vertAlign w:val="subscript"/>
              </w:rPr>
              <m:t>F</m:t>
            </m:r>
            <m:r>
              <m:rPr>
                <m:sty m:val="p"/>
              </m:rPr>
              <w:rPr>
                <w:rFonts w:ascii="Cambria Math" w:hAnsi="Cambria Math"/>
                <w:sz w:val="24"/>
                <w:szCs w:val="24"/>
                <w:vertAlign w:val="subscript"/>
              </w:rPr>
              <m:t>rep</m:t>
            </m:r>
            <m:ctrlPr>
              <w:rPr>
                <w:rFonts w:ascii="Cambria Math" w:hAnsi="Cambria Math"/>
                <w:i/>
                <w:iCs/>
                <w:sz w:val="24"/>
                <w:szCs w:val="24"/>
              </w:rPr>
            </m:ctrlPr>
          </m:sub>
        </m:sSub>
      </m:oMath>
      <w:r>
        <w:rPr>
          <w:sz w:val="24"/>
          <w:szCs w:val="24"/>
        </w:rPr>
        <w:t>。</w:t>
      </w:r>
    </w:p>
    <w:p w14:paraId="023326F2">
      <w:pPr>
        <w:pStyle w:val="56"/>
        <w:numPr>
          <w:ilvl w:val="0"/>
          <w:numId w:val="6"/>
        </w:numPr>
        <w:snapToGrid w:val="0"/>
        <w:spacing w:line="360" w:lineRule="auto"/>
        <w:ind w:left="0" w:firstLine="482"/>
        <w:rPr>
          <w:rFonts w:hint="eastAsia" w:ascii="宋体" w:hAnsi="宋体"/>
          <w:b/>
          <w:bCs/>
          <w:sz w:val="24"/>
          <w:szCs w:val="24"/>
        </w:rPr>
      </w:pPr>
      <w:r>
        <w:rPr>
          <w:rFonts w:ascii="宋体" w:hAnsi="宋体"/>
          <w:b/>
          <w:bCs/>
          <w:sz w:val="24"/>
          <w:szCs w:val="24"/>
        </w:rPr>
        <w:t>力传感器的综合示值误差（</w:t>
      </w:r>
      <m:oMath>
        <m:sSub>
          <m:sSubPr>
            <m:ctrlPr>
              <w:rPr>
                <w:rFonts w:ascii="Cambria Math" w:hAnsi="Cambria Math"/>
                <w:b/>
                <w:bCs/>
                <w:i/>
                <w:iCs/>
                <w:sz w:val="24"/>
                <w:szCs w:val="24"/>
              </w:rPr>
            </m:ctrlPr>
          </m:sSubPr>
          <m:e>
            <m:r>
              <m:rPr>
                <m:sty m:val="bi"/>
              </m:rPr>
              <w:rPr>
                <w:rFonts w:ascii="Cambria Math" w:hAnsi="Cambria Math"/>
                <w:sz w:val="24"/>
                <w:szCs w:val="24"/>
              </w:rPr>
              <m:t>u</m:t>
            </m:r>
            <m:ctrlPr>
              <w:rPr>
                <w:rFonts w:ascii="Cambria Math" w:hAnsi="Cambria Math"/>
                <w:b/>
                <w:bCs/>
                <w:i/>
                <w:iCs/>
                <w:sz w:val="24"/>
                <w:szCs w:val="24"/>
              </w:rPr>
            </m:ctrlPr>
          </m:e>
          <m:sub>
            <m:r>
              <m:rPr>
                <m:sty m:val="bi"/>
              </m:rPr>
              <w:rPr>
                <w:rFonts w:ascii="Cambria Math" w:hAnsi="Cambria Math"/>
                <w:sz w:val="24"/>
                <w:szCs w:val="24"/>
                <w:vertAlign w:val="subscript"/>
              </w:rPr>
              <m:t>F0</m:t>
            </m:r>
            <m:ctrlPr>
              <w:rPr>
                <w:rFonts w:ascii="Cambria Math" w:hAnsi="Cambria Math"/>
                <w:b/>
                <w:bCs/>
                <w:i/>
                <w:iCs/>
                <w:sz w:val="24"/>
                <w:szCs w:val="24"/>
              </w:rPr>
            </m:ctrlPr>
          </m:sub>
        </m:sSub>
      </m:oMath>
      <w:r>
        <w:rPr>
          <w:rFonts w:ascii="宋体" w:hAnsi="宋体"/>
          <w:b/>
          <w:bCs/>
          <w:sz w:val="24"/>
          <w:szCs w:val="24"/>
        </w:rPr>
        <w:t>）；</w:t>
      </w:r>
    </w:p>
    <w:p w14:paraId="7D80FC3E">
      <w:pPr>
        <w:snapToGrid w:val="0"/>
        <w:spacing w:line="360" w:lineRule="auto"/>
        <w:ind w:firstLine="480" w:firstLineChars="200"/>
        <w:rPr>
          <w:rFonts w:hint="eastAsia" w:ascii="宋体" w:hAnsi="宋体"/>
          <w:sz w:val="24"/>
          <w:szCs w:val="24"/>
        </w:rPr>
      </w:pPr>
      <w:r>
        <w:rPr>
          <w:rFonts w:ascii="宋体" w:hAnsi="宋体" w:cs="Cambria Math"/>
          <w:b/>
          <w:bCs/>
          <w:sz w:val="24"/>
          <w:szCs w:val="24"/>
        </w:rPr>
        <w:t>②</w:t>
      </w:r>
      <w:r>
        <w:rPr>
          <w:rFonts w:hint="eastAsia" w:ascii="宋体" w:hAnsi="宋体" w:cs="Cambria Math"/>
          <w:b/>
          <w:bCs/>
          <w:sz w:val="24"/>
          <w:szCs w:val="24"/>
        </w:rPr>
        <w:t xml:space="preserve"> </w:t>
      </w:r>
      <w:r>
        <w:rPr>
          <w:rFonts w:ascii="宋体" w:hAnsi="宋体"/>
          <w:b/>
          <w:bCs/>
          <w:sz w:val="24"/>
          <w:szCs w:val="24"/>
        </w:rPr>
        <w:t>各种随机因素影响导致的测量重复性（</w:t>
      </w:r>
      <m:oMath>
        <m:sSub>
          <m:sSubPr>
            <m:ctrlPr>
              <w:rPr>
                <w:rFonts w:ascii="Cambria Math" w:hAnsi="Cambria Math"/>
                <w:b/>
                <w:bCs/>
                <w:i/>
                <w:iCs/>
                <w:sz w:val="24"/>
                <w:szCs w:val="24"/>
              </w:rPr>
            </m:ctrlPr>
          </m:sSubPr>
          <m:e>
            <m:r>
              <m:rPr>
                <m:sty m:val="bi"/>
              </m:rPr>
              <w:rPr>
                <w:rFonts w:ascii="Cambria Math" w:hAnsi="Cambria Math"/>
                <w:sz w:val="24"/>
                <w:szCs w:val="24"/>
              </w:rPr>
              <m:t>u</m:t>
            </m:r>
            <m:ctrlPr>
              <w:rPr>
                <w:rFonts w:ascii="Cambria Math" w:hAnsi="Cambria Math"/>
                <w:b/>
                <w:bCs/>
                <w:i/>
                <w:iCs/>
                <w:sz w:val="24"/>
                <w:szCs w:val="24"/>
              </w:rPr>
            </m:ctrlPr>
          </m:e>
          <m:sub>
            <m:r>
              <m:rPr>
                <m:sty m:val="bi"/>
              </m:rPr>
              <w:rPr>
                <w:rFonts w:ascii="Cambria Math" w:hAnsi="Cambria Math"/>
                <w:sz w:val="24"/>
                <w:szCs w:val="24"/>
                <w:vertAlign w:val="subscript"/>
              </w:rPr>
              <m:t>F</m:t>
            </m:r>
            <m:r>
              <m:rPr>
                <m:sty m:val="b"/>
              </m:rPr>
              <w:rPr>
                <w:rFonts w:ascii="Cambria Math" w:hAnsi="Cambria Math"/>
                <w:sz w:val="24"/>
                <w:szCs w:val="24"/>
                <w:vertAlign w:val="subscript"/>
              </w:rPr>
              <m:t>rep</m:t>
            </m:r>
            <m:ctrlPr>
              <w:rPr>
                <w:rFonts w:ascii="Cambria Math" w:hAnsi="Cambria Math"/>
                <w:b/>
                <w:bCs/>
                <w:i/>
                <w:iCs/>
                <w:sz w:val="24"/>
                <w:szCs w:val="24"/>
              </w:rPr>
            </m:ctrlPr>
          </m:sub>
        </m:sSub>
      </m:oMath>
      <w:r>
        <w:rPr>
          <w:rFonts w:ascii="宋体" w:hAnsi="宋体"/>
          <w:b/>
          <w:bCs/>
          <w:sz w:val="24"/>
          <w:szCs w:val="24"/>
        </w:rPr>
        <w:t>）</w:t>
      </w:r>
    </w:p>
    <w:p w14:paraId="7F69CB75">
      <w:pPr>
        <w:snapToGrid w:val="0"/>
        <w:spacing w:line="360" w:lineRule="auto"/>
        <w:ind w:firstLine="480" w:firstLineChars="200"/>
        <w:rPr>
          <w:sz w:val="24"/>
          <w:szCs w:val="24"/>
        </w:rPr>
      </w:pPr>
      <w:r>
        <w:rPr>
          <w:rFonts w:ascii="宋体" w:hAnsi="宋体"/>
          <w:sz w:val="24"/>
          <w:szCs w:val="24"/>
        </w:rPr>
        <w:t>其</w:t>
      </w:r>
      <w:r>
        <w:rPr>
          <w:sz w:val="24"/>
          <w:szCs w:val="24"/>
        </w:rPr>
        <w:t>中，测量仪器的示值误差（</w:t>
      </w:r>
      <m:oMath>
        <m:sSub>
          <m:sSubPr>
            <m:ctrlPr>
              <w:rPr>
                <w:rFonts w:ascii="Cambria Math" w:hAnsi="Cambria Math"/>
                <w:i/>
                <w:iCs/>
                <w:sz w:val="24"/>
                <w:szCs w:val="24"/>
              </w:rPr>
            </m:ctrlPr>
          </m:sSubPr>
          <m:e>
            <m:r>
              <m:rPr/>
              <w:rPr>
                <w:rFonts w:ascii="Cambria Math" w:hAnsi="Cambria Math"/>
                <w:sz w:val="24"/>
                <w:szCs w:val="24"/>
              </w:rPr>
              <m:t>u</m:t>
            </m:r>
            <m:ctrlPr>
              <w:rPr>
                <w:rFonts w:ascii="Cambria Math" w:hAnsi="Cambria Math"/>
                <w:i/>
                <w:iCs/>
                <w:sz w:val="24"/>
                <w:szCs w:val="24"/>
              </w:rPr>
            </m:ctrlPr>
          </m:e>
          <m:sub>
            <m:sSub>
              <m:sSubPr>
                <m:ctrlPr>
                  <w:rPr>
                    <w:rFonts w:ascii="Cambria Math" w:hAnsi="Cambria Math"/>
                    <w:i/>
                    <w:iCs/>
                    <w:sz w:val="24"/>
                    <w:szCs w:val="24"/>
                    <w:vertAlign w:val="subscript"/>
                  </w:rPr>
                </m:ctrlPr>
              </m:sSubPr>
              <m:e>
                <m:r>
                  <m:rPr/>
                  <w:rPr>
                    <w:rFonts w:ascii="Cambria Math" w:hAnsi="Cambria Math"/>
                    <w:sz w:val="24"/>
                    <w:szCs w:val="24"/>
                    <w:vertAlign w:val="subscript"/>
                  </w:rPr>
                  <m:t>F</m:t>
                </m:r>
                <m:ctrlPr>
                  <w:rPr>
                    <w:rFonts w:ascii="Cambria Math" w:hAnsi="Cambria Math"/>
                    <w:i/>
                    <w:iCs/>
                    <w:sz w:val="24"/>
                    <w:szCs w:val="24"/>
                    <w:vertAlign w:val="subscript"/>
                  </w:rPr>
                </m:ctrlPr>
              </m:e>
              <m:sub>
                <m:r>
                  <m:rPr/>
                  <w:rPr>
                    <w:rFonts w:ascii="Cambria Math" w:hAnsi="Cambria Math"/>
                    <w:sz w:val="24"/>
                    <w:szCs w:val="24"/>
                    <w:vertAlign w:val="subscript"/>
                  </w:rPr>
                  <m:t>0</m:t>
                </m:r>
                <m:ctrlPr>
                  <w:rPr>
                    <w:rFonts w:ascii="Cambria Math" w:hAnsi="Cambria Math"/>
                    <w:i/>
                    <w:iCs/>
                    <w:sz w:val="24"/>
                    <w:szCs w:val="24"/>
                    <w:vertAlign w:val="subscript"/>
                  </w:rPr>
                </m:ctrlPr>
              </m:sub>
            </m:sSub>
            <m:ctrlPr>
              <w:rPr>
                <w:rFonts w:ascii="Cambria Math" w:hAnsi="Cambria Math"/>
                <w:i/>
                <w:iCs/>
                <w:sz w:val="24"/>
                <w:szCs w:val="24"/>
              </w:rPr>
            </m:ctrlPr>
          </m:sub>
        </m:sSub>
      </m:oMath>
      <w:r>
        <w:rPr>
          <w:sz w:val="24"/>
          <w:szCs w:val="24"/>
        </w:rPr>
        <w:t>）可基于测量不确定度0.</w:t>
      </w:r>
      <w:r>
        <w:rPr>
          <w:rFonts w:hint="eastAsia"/>
          <w:sz w:val="24"/>
          <w:szCs w:val="24"/>
        </w:rPr>
        <w:t>0</w:t>
      </w:r>
      <w:r>
        <w:rPr>
          <w:sz w:val="24"/>
          <w:szCs w:val="24"/>
        </w:rPr>
        <w:t>1级的标准测力仪</w:t>
      </w:r>
      <w:r>
        <w:rPr>
          <w:sz w:val="24"/>
          <w:szCs w:val="28"/>
        </w:rPr>
        <w:t>对待测力传感器的测试校准结果得到</w:t>
      </w:r>
      <w:r>
        <w:rPr>
          <w:sz w:val="24"/>
          <w:szCs w:val="24"/>
        </w:rPr>
        <w:t>，而各种随机影响因素引起的测量重复性不确定度分量则需要后续通过A类评定法实测并计算得到。</w:t>
      </w:r>
    </w:p>
    <w:p w14:paraId="18AF3488">
      <w:pPr>
        <w:spacing w:before="156" w:beforeLines="50" w:line="360" w:lineRule="auto"/>
        <w:rPr>
          <w:rStyle w:val="23"/>
          <w:rFonts w:ascii="Times New Roman" w:hAnsi="Times New Roman" w:eastAsia="仿宋"/>
          <w:szCs w:val="24"/>
        </w:rPr>
      </w:pPr>
      <w:r>
        <w:rPr>
          <w:rFonts w:eastAsia="仿宋"/>
          <w:sz w:val="24"/>
          <w:szCs w:val="24"/>
        </w:rPr>
        <w:t>B.7.2待测力传感器的不确定度分量</w:t>
      </w:r>
    </w:p>
    <w:p w14:paraId="147EF48A">
      <w:pPr>
        <w:spacing w:line="360" w:lineRule="auto"/>
        <w:ind w:firstLine="480" w:firstLineChars="200"/>
        <w:rPr>
          <w:rStyle w:val="23"/>
          <w:rFonts w:ascii="Times New Roman" w:hAnsi="Times New Roman"/>
          <w:szCs w:val="20"/>
        </w:rPr>
      </w:pPr>
      <w:r>
        <w:rPr>
          <w:rStyle w:val="23"/>
          <w:rFonts w:ascii="Times New Roman" w:hAnsi="Times New Roman"/>
          <w:szCs w:val="20"/>
        </w:rPr>
        <w:t>设本次待测</w:t>
      </w:r>
      <w:r>
        <w:rPr>
          <w:sz w:val="24"/>
          <w:szCs w:val="24"/>
        </w:rPr>
        <w:t>力</w:t>
      </w:r>
      <w:r>
        <w:rPr>
          <w:rStyle w:val="23"/>
          <w:rFonts w:ascii="Times New Roman" w:hAnsi="Times New Roman"/>
          <w:szCs w:val="20"/>
        </w:rPr>
        <w:t>传感器的测量不确定度分量为</w:t>
      </w:r>
      <m:oMath>
        <m:sSub>
          <m:sSubPr>
            <m:ctrlPr>
              <w:rPr>
                <w:rStyle w:val="23"/>
                <w:rFonts w:ascii="Cambria Math" w:hAnsi="Cambria Math"/>
                <w:i/>
                <w:szCs w:val="20"/>
              </w:rPr>
            </m:ctrlPr>
          </m:sSubPr>
          <m:e>
            <m:r>
              <m:rPr/>
              <w:rPr>
                <w:rStyle w:val="23"/>
                <w:rFonts w:ascii="Cambria Math" w:hAnsi="Cambria Math"/>
                <w:szCs w:val="20"/>
              </w:rPr>
              <m:t>u</m:t>
            </m:r>
            <m:ctrlPr>
              <w:rPr>
                <w:rStyle w:val="23"/>
                <w:rFonts w:ascii="Cambria Math" w:hAnsi="Cambria Math"/>
                <w:i/>
                <w:szCs w:val="20"/>
              </w:rPr>
            </m:ctrlPr>
          </m:e>
          <m:sub>
            <m:r>
              <m:rPr/>
              <w:rPr>
                <w:rStyle w:val="23"/>
                <w:rFonts w:ascii="Cambria Math" w:hAnsi="Cambria Math"/>
                <w:szCs w:val="20"/>
              </w:rPr>
              <m:t>1</m:t>
            </m:r>
            <m:ctrlPr>
              <w:rPr>
                <w:rStyle w:val="23"/>
                <w:rFonts w:ascii="Cambria Math" w:hAnsi="Cambria Math"/>
                <w:i/>
                <w:szCs w:val="20"/>
              </w:rPr>
            </m:ctrlPr>
          </m:sub>
        </m:sSub>
      </m:oMath>
      <w:r>
        <w:rPr>
          <w:rStyle w:val="23"/>
          <w:rFonts w:ascii="Times New Roman" w:hAnsi="Times New Roman"/>
          <w:szCs w:val="20"/>
        </w:rPr>
        <w:t>，</w:t>
      </w:r>
      <w:r>
        <w:rPr>
          <w:sz w:val="24"/>
          <w:szCs w:val="24"/>
        </w:rPr>
        <w:t>采用</w:t>
      </w:r>
      <w:r>
        <w:rPr>
          <w:rStyle w:val="23"/>
          <w:rFonts w:ascii="Times New Roman" w:hAnsi="Times New Roman"/>
          <w:szCs w:val="20"/>
        </w:rPr>
        <w:t>A类评定法，</w:t>
      </w:r>
      <w:r>
        <w:rPr>
          <w:sz w:val="24"/>
          <w:szCs w:val="24"/>
        </w:rPr>
        <w:t>通过对测量数据的统计分析来评定不确定度。基于表B.2中</w:t>
      </w:r>
      <w:r>
        <w:rPr>
          <w:rStyle w:val="23"/>
          <w:rFonts w:ascii="Times New Roman" w:hAnsi="Times New Roman"/>
          <w:szCs w:val="20"/>
        </w:rPr>
        <w:t>对同一被测量独立重复观测得到的</w:t>
      </w:r>
      <w:r>
        <w:rPr>
          <w:rStyle w:val="23"/>
          <w:rFonts w:ascii="Times New Roman" w:hAnsi="Times New Roman"/>
          <w:i/>
          <w:iCs/>
          <w:szCs w:val="20"/>
        </w:rPr>
        <w:t>n</w:t>
      </w:r>
      <w:r>
        <w:rPr>
          <w:rStyle w:val="23"/>
          <w:rFonts w:ascii="Times New Roman" w:hAnsi="Times New Roman"/>
          <w:szCs w:val="20"/>
        </w:rPr>
        <w:t>个测得值，被测量</w:t>
      </w:r>
      <w:r>
        <w:rPr>
          <w:rStyle w:val="23"/>
          <w:rFonts w:ascii="Times New Roman" w:hAnsi="Times New Roman"/>
          <w:i/>
          <w:iCs/>
          <w:szCs w:val="20"/>
        </w:rPr>
        <w:t>X</w:t>
      </w:r>
      <w:r>
        <w:rPr>
          <w:rStyle w:val="23"/>
          <w:rFonts w:ascii="Times New Roman" w:hAnsi="Times New Roman"/>
          <w:szCs w:val="20"/>
        </w:rPr>
        <w:t>的最佳估计值是</w:t>
      </w:r>
      <w:r>
        <w:rPr>
          <w:rStyle w:val="23"/>
          <w:rFonts w:ascii="Times New Roman" w:hAnsi="Times New Roman"/>
          <w:i/>
          <w:iCs/>
          <w:szCs w:val="20"/>
        </w:rPr>
        <w:t>n</w:t>
      </w:r>
      <w:r>
        <w:rPr>
          <w:rStyle w:val="23"/>
          <w:rFonts w:ascii="Times New Roman" w:hAnsi="Times New Roman"/>
          <w:szCs w:val="20"/>
        </w:rPr>
        <w:t>个独立测得值的算术平均值</w:t>
      </w:r>
      <m:oMath>
        <m:acc>
          <m:accPr>
            <m:chr m:val="̅"/>
            <m:ctrlPr>
              <w:rPr>
                <w:rStyle w:val="23"/>
                <w:rFonts w:ascii="Cambria Math" w:hAnsi="Cambria Math"/>
                <w:szCs w:val="20"/>
              </w:rPr>
            </m:ctrlPr>
          </m:accPr>
          <m:e>
            <m:r>
              <m:rPr/>
              <w:rPr>
                <w:rStyle w:val="23"/>
                <w:rFonts w:ascii="Cambria Math" w:hAnsi="Cambria Math"/>
                <w:szCs w:val="20"/>
              </w:rPr>
              <m:t>x</m:t>
            </m:r>
            <m:ctrlPr>
              <w:rPr>
                <w:rStyle w:val="23"/>
                <w:rFonts w:ascii="Cambria Math" w:hAnsi="Cambria Math"/>
                <w:szCs w:val="20"/>
              </w:rPr>
            </m:ctrlPr>
          </m:e>
        </m:acc>
      </m:oMath>
      <w:r>
        <w:rPr>
          <w:rStyle w:val="23"/>
          <w:rFonts w:ascii="Times New Roman" w:hAnsi="Times New Roman"/>
          <w:szCs w:val="20"/>
        </w:rPr>
        <w:t>，按公式（1）计算：</w:t>
      </w:r>
    </w:p>
    <w:p w14:paraId="65780F46">
      <w:pPr>
        <w:tabs>
          <w:tab w:val="center" w:pos="4150"/>
          <w:tab w:val="right" w:pos="10104"/>
        </w:tabs>
        <w:spacing w:line="360" w:lineRule="auto"/>
        <w:ind w:firstLine="480" w:firstLineChars="200"/>
        <w:jc w:val="center"/>
        <w:rPr>
          <w:rStyle w:val="23"/>
          <w:rFonts w:ascii="Times New Roman" w:hAnsi="Times New Roman"/>
          <w:szCs w:val="20"/>
        </w:rPr>
      </w:pPr>
      <w:r>
        <w:rPr>
          <w:rStyle w:val="23"/>
          <w:rFonts w:ascii="Times New Roman" w:hAnsi="Times New Roman"/>
          <w:szCs w:val="20"/>
        </w:rPr>
        <w:tab/>
      </w:r>
      <m:oMath>
        <m:acc>
          <m:accPr>
            <m:chr m:val="̅"/>
            <m:ctrlPr>
              <w:rPr>
                <w:rStyle w:val="23"/>
                <w:rFonts w:ascii="Cambria Math" w:hAnsi="Cambria Math"/>
                <w:szCs w:val="20"/>
              </w:rPr>
            </m:ctrlPr>
          </m:accPr>
          <m:e>
            <m:sSub>
              <m:sSubPr>
                <m:ctrlPr>
                  <w:rPr>
                    <w:rStyle w:val="23"/>
                    <w:rFonts w:ascii="Cambria Math" w:hAnsi="Cambria Math"/>
                    <w:i/>
                    <w:szCs w:val="20"/>
                  </w:rPr>
                </m:ctrlPr>
              </m:sSubPr>
              <m:e>
                <m:r>
                  <m:rPr/>
                  <w:rPr>
                    <w:rStyle w:val="23"/>
                    <w:rFonts w:ascii="Cambria Math" w:hAnsi="Cambria Math"/>
                    <w:szCs w:val="20"/>
                  </w:rPr>
                  <m:t>F</m:t>
                </m:r>
                <m:ctrlPr>
                  <w:rPr>
                    <w:rStyle w:val="23"/>
                    <w:rFonts w:ascii="Cambria Math" w:hAnsi="Cambria Math"/>
                    <w:i/>
                    <w:szCs w:val="20"/>
                  </w:rPr>
                </m:ctrlPr>
              </m:e>
              <m:sub>
                <m:r>
                  <m:rPr/>
                  <w:rPr>
                    <w:rStyle w:val="23"/>
                    <w:rFonts w:ascii="Cambria Math" w:hAnsi="Cambria Math"/>
                    <w:szCs w:val="20"/>
                  </w:rPr>
                  <m:t>t</m:t>
                </m:r>
                <m:ctrlPr>
                  <w:rPr>
                    <w:rStyle w:val="23"/>
                    <w:rFonts w:ascii="Cambria Math" w:hAnsi="Cambria Math"/>
                    <w:i/>
                    <w:szCs w:val="20"/>
                  </w:rPr>
                </m:ctrlPr>
              </m:sub>
            </m:sSub>
            <m:ctrlPr>
              <w:rPr>
                <w:rStyle w:val="23"/>
                <w:rFonts w:ascii="Cambria Math" w:hAnsi="Cambria Math"/>
                <w:szCs w:val="20"/>
              </w:rPr>
            </m:ctrlPr>
          </m:e>
        </m:acc>
        <m:r>
          <m:rPr>
            <m:sty m:val="p"/>
          </m:rPr>
          <w:rPr>
            <w:rStyle w:val="23"/>
            <w:rFonts w:ascii="Cambria Math" w:hAnsi="Cambria Math"/>
            <w:szCs w:val="20"/>
          </w:rPr>
          <m:t>=</m:t>
        </m:r>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b>
              <m:sSubPr>
                <m:ctrlPr>
                  <w:rPr>
                    <w:rStyle w:val="23"/>
                    <w:rFonts w:ascii="Cambria Math" w:hAnsi="Cambria Math"/>
                    <w:szCs w:val="20"/>
                  </w:rPr>
                </m:ctrlPr>
              </m:sSubPr>
              <m:e>
                <m:r>
                  <m:rPr/>
                  <w:rPr>
                    <w:rStyle w:val="23"/>
                    <w:rFonts w:ascii="Cambria Math" w:hAnsi="Cambria Math"/>
                    <w:szCs w:val="20"/>
                  </w:rPr>
                  <m:t>F</m:t>
                </m:r>
                <m:ctrlPr>
                  <w:rPr>
                    <w:rStyle w:val="23"/>
                    <w:rFonts w:ascii="Cambria Math" w:hAnsi="Cambria Math"/>
                    <w:szCs w:val="20"/>
                  </w:rPr>
                </m:ctrlPr>
              </m:e>
              <m:sub>
                <m:r>
                  <m:rPr/>
                  <w:rPr>
                    <w:rStyle w:val="23"/>
                    <w:rFonts w:ascii="Cambria Math" w:hAnsi="Cambria Math"/>
                    <w:szCs w:val="20"/>
                  </w:rPr>
                  <m:t>ti</m:t>
                </m:r>
                <m:ctrlPr>
                  <w:rPr>
                    <w:rStyle w:val="23"/>
                    <w:rFonts w:ascii="Cambria Math" w:hAnsi="Cambria Math"/>
                    <w:szCs w:val="20"/>
                  </w:rPr>
                </m:ctrlPr>
              </m:sub>
            </m:sSub>
            <m:ctrlPr>
              <w:rPr>
                <w:rStyle w:val="23"/>
                <w:rFonts w:ascii="Cambria Math" w:hAnsi="Cambria Math"/>
                <w:szCs w:val="20"/>
              </w:rPr>
            </m:ctrlPr>
          </m:e>
        </m:nary>
      </m:oMath>
      <w:r>
        <w:rPr>
          <w:rStyle w:val="23"/>
          <w:rFonts w:ascii="Times New Roman" w:hAnsi="Times New Roman"/>
          <w:szCs w:val="20"/>
        </w:rPr>
        <w:tab/>
      </w:r>
      <w:r>
        <w:rPr>
          <w:rStyle w:val="23"/>
          <w:rFonts w:ascii="Times New Roman" w:hAnsi="Times New Roman"/>
          <w:szCs w:val="20"/>
        </w:rPr>
        <w:t>（1）</w:t>
      </w:r>
    </w:p>
    <w:p w14:paraId="49EED2A9">
      <w:pPr>
        <w:spacing w:line="360" w:lineRule="auto"/>
        <w:ind w:firstLine="480" w:firstLineChars="200"/>
        <w:rPr>
          <w:rStyle w:val="23"/>
          <w:rFonts w:ascii="Times New Roman" w:hAnsi="Times New Roman"/>
          <w:szCs w:val="20"/>
        </w:rPr>
      </w:pPr>
      <w:r>
        <w:rPr>
          <w:rStyle w:val="23"/>
          <w:rFonts w:ascii="Times New Roman" w:hAnsi="Times New Roman"/>
          <w:szCs w:val="20"/>
        </w:rPr>
        <w:t>根据公式（4），单个测得值x的实验方差</w:t>
      </w:r>
      <m:oMath>
        <m:sSup>
          <m:sSupPr>
            <m:ctrlPr>
              <w:rPr>
                <w:rStyle w:val="23"/>
                <w:rFonts w:ascii="Cambria Math" w:hAnsi="Cambria Math"/>
                <w:szCs w:val="20"/>
              </w:rPr>
            </m:ctrlPr>
          </m:sSupPr>
          <m:e>
            <m:r>
              <m:rPr/>
              <w:rPr>
                <w:rStyle w:val="23"/>
                <w:rFonts w:ascii="Cambria Math" w:hAnsi="Cambria Math"/>
                <w:szCs w:val="20"/>
              </w:rPr>
              <m:t>s</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r>
          <m:rPr>
            <m:sty m:val="p"/>
          </m:rPr>
          <w:rPr>
            <w:rStyle w:val="23"/>
            <w:rFonts w:ascii="Cambria Math" w:hAnsi="Cambria Math"/>
            <w:szCs w:val="20"/>
          </w:rPr>
          <m:t>(</m:t>
        </m:r>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k</m:t>
            </m:r>
            <m:ctrlPr>
              <w:rPr>
                <w:rStyle w:val="23"/>
                <w:rFonts w:ascii="Cambria Math" w:hAnsi="Cambria Math"/>
                <w:szCs w:val="20"/>
              </w:rPr>
            </m:ctrlPr>
          </m:sub>
        </m:sSub>
        <m:r>
          <m:rPr>
            <m:sty m:val="p"/>
          </m:rPr>
          <w:rPr>
            <w:rStyle w:val="23"/>
            <w:rFonts w:ascii="Cambria Math" w:hAnsi="Cambria Math"/>
            <w:szCs w:val="20"/>
          </w:rPr>
          <m:t>)</m:t>
        </m:r>
      </m:oMath>
      <w:r>
        <w:rPr>
          <w:rStyle w:val="23"/>
          <w:rFonts w:ascii="Times New Roman" w:hAnsi="Times New Roman"/>
          <w:szCs w:val="20"/>
        </w:rPr>
        <w:t>为：</w:t>
      </w:r>
    </w:p>
    <w:p w14:paraId="6A147C40">
      <w:pPr>
        <w:tabs>
          <w:tab w:val="center" w:pos="4150"/>
          <w:tab w:val="right" w:pos="10104"/>
        </w:tabs>
        <w:spacing w:line="600" w:lineRule="auto"/>
        <w:ind w:firstLine="480" w:firstLineChars="200"/>
        <w:jc w:val="center"/>
        <w:rPr>
          <w:rStyle w:val="23"/>
          <w:rFonts w:ascii="Times New Roman" w:hAnsi="Times New Roman"/>
          <w:szCs w:val="20"/>
        </w:rPr>
      </w:pPr>
      <w:r>
        <w:rPr>
          <w:rStyle w:val="23"/>
          <w:rFonts w:ascii="Times New Roman" w:hAnsi="Times New Roman"/>
          <w:szCs w:val="20"/>
        </w:rPr>
        <w:tab/>
      </w:r>
      <m:oMath>
        <m:sSup>
          <m:sSupPr>
            <m:ctrlPr>
              <w:rPr>
                <w:rStyle w:val="23"/>
                <w:rFonts w:ascii="Cambria Math" w:hAnsi="Cambria Math"/>
                <w:szCs w:val="20"/>
              </w:rPr>
            </m:ctrlPr>
          </m:sSupPr>
          <m:e>
            <m:r>
              <m:rPr/>
              <w:rPr>
                <w:rStyle w:val="23"/>
                <w:rFonts w:ascii="Cambria Math" w:hAnsi="Cambria Math"/>
                <w:szCs w:val="20"/>
              </w:rPr>
              <m:t>s</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d>
          <m:dPr>
            <m:ctrlPr>
              <w:rPr>
                <w:rStyle w:val="23"/>
                <w:rFonts w:ascii="Cambria Math" w:hAnsi="Cambria Math"/>
                <w:szCs w:val="20"/>
              </w:rPr>
            </m:ctrlPr>
          </m:dPr>
          <m:e>
            <m:sSub>
              <m:sSubPr>
                <m:ctrlPr>
                  <w:rPr>
                    <w:rStyle w:val="23"/>
                    <w:rFonts w:ascii="Cambria Math" w:hAnsi="Cambria Math"/>
                    <w:szCs w:val="20"/>
                  </w:rPr>
                </m:ctrlPr>
              </m:sSubPr>
              <m:e>
                <m:r>
                  <m:rPr/>
                  <w:rPr>
                    <w:rStyle w:val="23"/>
                    <w:rFonts w:ascii="Cambria Math" w:hAnsi="Cambria Math"/>
                    <w:szCs w:val="20"/>
                  </w:rPr>
                  <m:t>F</m:t>
                </m:r>
                <m:ctrlPr>
                  <w:rPr>
                    <w:rStyle w:val="23"/>
                    <w:rFonts w:ascii="Cambria Math" w:hAnsi="Cambria Math"/>
                    <w:szCs w:val="20"/>
                  </w:rPr>
                </m:ctrlPr>
              </m:e>
              <m:sub>
                <m:r>
                  <m:rPr/>
                  <w:rPr>
                    <w:rStyle w:val="23"/>
                    <w:rFonts w:ascii="Cambria Math" w:hAnsi="Cambria Math"/>
                    <w:szCs w:val="20"/>
                  </w:rPr>
                  <m:t>tk</m:t>
                </m:r>
                <m:ctrlPr>
                  <w:rPr>
                    <w:rStyle w:val="23"/>
                    <w:rFonts w:ascii="Cambria Math" w:hAnsi="Cambria Math"/>
                    <w:szCs w:val="20"/>
                  </w:rPr>
                </m:ctrlPr>
              </m:sub>
            </m:sSub>
            <m:ctrlPr>
              <w:rPr>
                <w:rStyle w:val="23"/>
                <w:rFonts w:ascii="Cambria Math" w:hAnsi="Cambria Math"/>
                <w:szCs w:val="20"/>
              </w:rPr>
            </m:ctrlPr>
          </m:e>
        </m:d>
        <m:r>
          <m:rPr>
            <m:sty m:val="p"/>
          </m:rPr>
          <w:rPr>
            <w:rStyle w:val="23"/>
            <w:rFonts w:ascii="Cambria Math" w:hAnsi="Cambria Math"/>
            <w:szCs w:val="20"/>
          </w:rPr>
          <m:t>=</m:t>
        </m:r>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r>
              <m:rPr>
                <m:sty m:val="p"/>
              </m:rPr>
              <w:rPr>
                <w:rStyle w:val="23"/>
                <w:rFonts w:ascii="Cambria Math" w:hAnsi="Cambria Math"/>
                <w:szCs w:val="20"/>
              </w:rPr>
              <m:t>−1</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p>
              <m:sSupPr>
                <m:ctrlPr>
                  <w:rPr>
                    <w:rStyle w:val="23"/>
                    <w:rFonts w:ascii="Cambria Math" w:hAnsi="Cambria Math"/>
                    <w:szCs w:val="20"/>
                  </w:rPr>
                </m:ctrlPr>
              </m:sSupPr>
              <m:e>
                <m:sSub>
                  <m:sSubPr>
                    <m:ctrlPr>
                      <w:rPr>
                        <w:rStyle w:val="23"/>
                        <w:rFonts w:ascii="Cambria Math" w:hAnsi="Cambria Math"/>
                        <w:szCs w:val="20"/>
                      </w:rPr>
                    </m:ctrlPr>
                  </m:sSubPr>
                  <m:e>
                    <m:r>
                      <m:rPr>
                        <m:sty m:val="p"/>
                      </m:rPr>
                      <w:rPr>
                        <w:rStyle w:val="23"/>
                        <w:rFonts w:ascii="Cambria Math" w:hAnsi="Cambria Math"/>
                        <w:szCs w:val="20"/>
                      </w:rPr>
                      <m:t>(</m:t>
                    </m:r>
                    <m:r>
                      <m:rPr/>
                      <w:rPr>
                        <w:rStyle w:val="23"/>
                        <w:rFonts w:ascii="Cambria Math" w:hAnsi="Cambria Math"/>
                        <w:szCs w:val="20"/>
                      </w:rPr>
                      <m:t>F</m:t>
                    </m:r>
                    <m:ctrlPr>
                      <w:rPr>
                        <w:rStyle w:val="23"/>
                        <w:rFonts w:ascii="Cambria Math" w:hAnsi="Cambria Math"/>
                        <w:szCs w:val="20"/>
                      </w:rPr>
                    </m:ctrlPr>
                  </m:e>
                  <m:sub>
                    <m:r>
                      <m:rPr/>
                      <w:rPr>
                        <w:rStyle w:val="23"/>
                        <w:rFonts w:ascii="Cambria Math" w:hAnsi="Cambria Math"/>
                        <w:szCs w:val="20"/>
                      </w:rPr>
                      <m:t>ti</m:t>
                    </m:r>
                    <m:ctrlPr>
                      <w:rPr>
                        <w:rStyle w:val="23"/>
                        <w:rFonts w:ascii="Cambria Math" w:hAnsi="Cambria Math"/>
                        <w:szCs w:val="20"/>
                      </w:rPr>
                    </m:ctrlPr>
                  </m:sub>
                </m:sSub>
                <m:r>
                  <m:rPr>
                    <m:sty m:val="p"/>
                  </m:rPr>
                  <w:rPr>
                    <w:rStyle w:val="23"/>
                    <w:rFonts w:ascii="Cambria Math" w:hAnsi="Cambria Math"/>
                    <w:szCs w:val="20"/>
                  </w:rPr>
                  <m:t>−</m:t>
                </m:r>
                <m:sSub>
                  <m:sSubPr>
                    <m:ctrlPr>
                      <w:rPr>
                        <w:rStyle w:val="23"/>
                        <w:rFonts w:ascii="Cambria Math" w:hAnsi="Cambria Math"/>
                        <w:i/>
                        <w:szCs w:val="20"/>
                      </w:rPr>
                    </m:ctrlPr>
                  </m:sSubPr>
                  <m:e>
                    <m:acc>
                      <m:accPr>
                        <m:chr m:val="̅"/>
                        <m:ctrlPr>
                          <w:rPr>
                            <w:rStyle w:val="23"/>
                            <w:rFonts w:ascii="Cambria Math" w:hAnsi="Cambria Math"/>
                            <w:szCs w:val="20"/>
                          </w:rPr>
                        </m:ctrlPr>
                      </m:accPr>
                      <m:e>
                        <m:r>
                          <m:rPr/>
                          <w:rPr>
                            <w:rStyle w:val="23"/>
                            <w:rFonts w:ascii="Cambria Math" w:hAnsi="Cambria Math"/>
                            <w:szCs w:val="20"/>
                          </w:rPr>
                          <m:t>F</m:t>
                        </m:r>
                        <m:ctrlPr>
                          <w:rPr>
                            <w:rStyle w:val="23"/>
                            <w:rFonts w:ascii="Cambria Math" w:hAnsi="Cambria Math"/>
                            <w:szCs w:val="20"/>
                          </w:rPr>
                        </m:ctrlPr>
                      </m:e>
                    </m:acc>
                    <m:ctrlPr>
                      <w:rPr>
                        <w:rStyle w:val="23"/>
                        <w:rFonts w:ascii="Cambria Math" w:hAnsi="Cambria Math"/>
                        <w:i/>
                        <w:szCs w:val="20"/>
                      </w:rPr>
                    </m:ctrlPr>
                  </m:e>
                  <m:sub>
                    <m:r>
                      <m:rPr/>
                      <w:rPr>
                        <w:rStyle w:val="23"/>
                        <w:rFonts w:ascii="Cambria Math" w:hAnsi="Cambria Math"/>
                        <w:szCs w:val="20"/>
                      </w:rPr>
                      <m:t>t</m:t>
                    </m:r>
                    <m:ctrlPr>
                      <w:rPr>
                        <w:rStyle w:val="23"/>
                        <w:rFonts w:ascii="Cambria Math" w:hAnsi="Cambria Math"/>
                        <w:i/>
                        <w:szCs w:val="20"/>
                      </w:rPr>
                    </m:ctrlPr>
                  </m:sub>
                </m:sSub>
                <m:r>
                  <m:rPr>
                    <m:sty m:val="p"/>
                  </m:rPr>
                  <w:rPr>
                    <w:rStyle w:val="23"/>
                    <w:rFonts w:ascii="Cambria Math" w:hAnsi="Cambria Math"/>
                    <w:szCs w:val="20"/>
                  </w:rPr>
                  <m:t>)</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ctrlPr>
              <w:rPr>
                <w:rStyle w:val="23"/>
                <w:rFonts w:ascii="Cambria Math" w:hAnsi="Cambria Math"/>
                <w:szCs w:val="20"/>
              </w:rPr>
            </m:ctrlPr>
          </m:e>
        </m:nary>
      </m:oMath>
      <w:r>
        <w:rPr>
          <w:rStyle w:val="23"/>
          <w:rFonts w:ascii="Times New Roman" w:hAnsi="Times New Roman"/>
          <w:szCs w:val="20"/>
        </w:rPr>
        <w:tab/>
      </w:r>
      <w:r>
        <w:rPr>
          <w:rStyle w:val="23"/>
          <w:rFonts w:ascii="Times New Roman" w:hAnsi="Times New Roman"/>
          <w:szCs w:val="20"/>
        </w:rPr>
        <w:t>（2）</w:t>
      </w:r>
    </w:p>
    <w:p w14:paraId="2EEFA1CE">
      <w:pPr>
        <w:spacing w:line="360" w:lineRule="auto"/>
        <w:ind w:firstLine="480" w:firstLineChars="200"/>
        <w:rPr>
          <w:rStyle w:val="23"/>
          <w:rFonts w:ascii="Times New Roman" w:hAnsi="Times New Roman"/>
          <w:szCs w:val="20"/>
        </w:rPr>
      </w:pPr>
      <w:r>
        <w:rPr>
          <w:rStyle w:val="23"/>
          <w:rFonts w:ascii="Times New Roman" w:hAnsi="Times New Roman"/>
          <w:szCs w:val="20"/>
        </w:rPr>
        <w:t>根据贝塞尔公式，单个测得值x的实验标准偏差</w:t>
      </w:r>
      <m:oMath>
        <m:r>
          <m:rPr/>
          <w:rPr>
            <w:rStyle w:val="23"/>
            <w:rFonts w:ascii="Cambria Math" w:hAnsi="Cambria Math"/>
            <w:szCs w:val="20"/>
          </w:rPr>
          <m:t>s</m:t>
        </m:r>
        <m:r>
          <m:rPr>
            <m:sty m:val="p"/>
          </m:rPr>
          <w:rPr>
            <w:rStyle w:val="23"/>
            <w:rFonts w:ascii="Cambria Math" w:hAnsi="Cambria Math"/>
            <w:szCs w:val="20"/>
          </w:rPr>
          <m:t>(</m:t>
        </m:r>
        <m:sSub>
          <m:sSubPr>
            <m:ctrlPr>
              <w:rPr>
                <w:rStyle w:val="23"/>
                <w:rFonts w:ascii="Cambria Math" w:hAnsi="Cambria Math"/>
                <w:szCs w:val="20"/>
              </w:rPr>
            </m:ctrlPr>
          </m:sSubPr>
          <m:e>
            <m:r>
              <m:rPr/>
              <w:rPr>
                <w:rStyle w:val="23"/>
                <w:rFonts w:ascii="Cambria Math" w:hAnsi="Cambria Math"/>
                <w:szCs w:val="20"/>
              </w:rPr>
              <m:t>x</m:t>
            </m:r>
            <m:ctrlPr>
              <w:rPr>
                <w:rStyle w:val="23"/>
                <w:rFonts w:ascii="Cambria Math" w:hAnsi="Cambria Math"/>
                <w:szCs w:val="20"/>
              </w:rPr>
            </m:ctrlPr>
          </m:e>
          <m:sub>
            <m:r>
              <m:rPr/>
              <w:rPr>
                <w:rStyle w:val="23"/>
                <w:rFonts w:ascii="Cambria Math" w:hAnsi="Cambria Math"/>
                <w:szCs w:val="20"/>
              </w:rPr>
              <m:t>k</m:t>
            </m:r>
            <m:ctrlPr>
              <w:rPr>
                <w:rStyle w:val="23"/>
                <w:rFonts w:ascii="Cambria Math" w:hAnsi="Cambria Math"/>
                <w:szCs w:val="20"/>
              </w:rPr>
            </m:ctrlPr>
          </m:sub>
        </m:sSub>
        <m:r>
          <m:rPr>
            <m:sty m:val="p"/>
          </m:rPr>
          <w:rPr>
            <w:rStyle w:val="23"/>
            <w:rFonts w:ascii="Cambria Math" w:hAnsi="Cambria Math"/>
            <w:szCs w:val="20"/>
          </w:rPr>
          <m:t>)</m:t>
        </m:r>
      </m:oMath>
      <w:r>
        <w:rPr>
          <w:rStyle w:val="23"/>
          <w:rFonts w:ascii="Times New Roman" w:hAnsi="Times New Roman"/>
          <w:szCs w:val="20"/>
        </w:rPr>
        <w:t>为：</w:t>
      </w:r>
    </w:p>
    <w:p w14:paraId="3A1F2DA9">
      <w:pPr>
        <w:tabs>
          <w:tab w:val="center" w:pos="1537"/>
          <w:tab w:val="center" w:pos="4150"/>
          <w:tab w:val="right" w:pos="10104"/>
        </w:tabs>
        <w:spacing w:line="600" w:lineRule="auto"/>
        <w:ind w:firstLine="480" w:firstLineChars="200"/>
        <w:jc w:val="center"/>
        <w:rPr>
          <w:rStyle w:val="23"/>
          <w:rFonts w:ascii="Times New Roman" w:hAnsi="Times New Roman"/>
          <w:szCs w:val="20"/>
        </w:rPr>
      </w:pPr>
      <w:r>
        <w:rPr>
          <w:rStyle w:val="23"/>
          <w:rFonts w:ascii="Times New Roman" w:hAnsi="Times New Roman"/>
          <w:iCs/>
          <w:szCs w:val="20"/>
        </w:rPr>
        <w:tab/>
      </w:r>
      <w:r>
        <w:rPr>
          <w:rStyle w:val="23"/>
          <w:rFonts w:ascii="Times New Roman" w:hAnsi="Times New Roman"/>
          <w:iCs/>
          <w:szCs w:val="20"/>
        </w:rPr>
        <w:tab/>
      </w:r>
      <m:oMath>
        <m:r>
          <m:rPr/>
          <w:rPr>
            <w:rStyle w:val="23"/>
            <w:rFonts w:ascii="Cambria Math" w:hAnsi="Cambria Math"/>
            <w:szCs w:val="20"/>
          </w:rPr>
          <m:t>s</m:t>
        </m:r>
        <m:d>
          <m:dPr>
            <m:ctrlPr>
              <w:rPr>
                <w:rStyle w:val="23"/>
                <w:rFonts w:ascii="Cambria Math" w:hAnsi="Cambria Math"/>
                <w:szCs w:val="20"/>
              </w:rPr>
            </m:ctrlPr>
          </m:dPr>
          <m:e>
            <m:sSub>
              <m:sSubPr>
                <m:ctrlPr>
                  <w:rPr>
                    <w:rStyle w:val="23"/>
                    <w:rFonts w:ascii="Cambria Math" w:hAnsi="Cambria Math"/>
                    <w:szCs w:val="20"/>
                  </w:rPr>
                </m:ctrlPr>
              </m:sSubPr>
              <m:e>
                <m:r>
                  <m:rPr/>
                  <w:rPr>
                    <w:rStyle w:val="23"/>
                    <w:rFonts w:ascii="Cambria Math" w:hAnsi="Cambria Math"/>
                    <w:szCs w:val="20"/>
                  </w:rPr>
                  <m:t>F</m:t>
                </m:r>
                <m:ctrlPr>
                  <w:rPr>
                    <w:rStyle w:val="23"/>
                    <w:rFonts w:ascii="Cambria Math" w:hAnsi="Cambria Math"/>
                    <w:szCs w:val="20"/>
                  </w:rPr>
                </m:ctrlPr>
              </m:e>
              <m:sub>
                <m:r>
                  <m:rPr/>
                  <w:rPr>
                    <w:rStyle w:val="23"/>
                    <w:rFonts w:ascii="Cambria Math" w:hAnsi="Cambria Math"/>
                    <w:szCs w:val="20"/>
                  </w:rPr>
                  <m:t>tk</m:t>
                </m:r>
                <m:ctrlPr>
                  <w:rPr>
                    <w:rStyle w:val="23"/>
                    <w:rFonts w:ascii="Cambria Math" w:hAnsi="Cambria Math"/>
                    <w:szCs w:val="20"/>
                  </w:rPr>
                </m:ctrlPr>
              </m:sub>
            </m:sSub>
            <m:ctrlPr>
              <w:rPr>
                <w:rStyle w:val="23"/>
                <w:rFonts w:ascii="Cambria Math" w:hAnsi="Cambria Math"/>
                <w:szCs w:val="20"/>
              </w:rPr>
            </m:ctrlPr>
          </m:e>
        </m:d>
        <m:r>
          <m:rPr>
            <m:sty m:val="p"/>
          </m:rPr>
          <w:rPr>
            <w:rStyle w:val="23"/>
            <w:rFonts w:ascii="Cambria Math" w:hAnsi="Cambria Math"/>
            <w:szCs w:val="20"/>
          </w:rPr>
          <m:t>=</m:t>
        </m:r>
        <m:rad>
          <m:radPr>
            <m:degHide m:val="1"/>
            <m:ctrlPr>
              <w:rPr>
                <w:rStyle w:val="23"/>
                <w:rFonts w:ascii="Cambria Math" w:hAnsi="Cambria Math"/>
                <w:szCs w:val="20"/>
              </w:rPr>
            </m:ctrlPr>
          </m:radPr>
          <m:deg>
            <m:ctrlPr>
              <w:rPr>
                <w:rStyle w:val="23"/>
                <w:rFonts w:ascii="Cambria Math" w:hAnsi="Cambria Math"/>
                <w:szCs w:val="20"/>
              </w:rPr>
            </m:ctrlPr>
          </m:deg>
          <m:e>
            <m:f>
              <m:fPr>
                <m:ctrlPr>
                  <w:rPr>
                    <w:rStyle w:val="23"/>
                    <w:rFonts w:ascii="Cambria Math" w:hAnsi="Cambria Math"/>
                    <w:szCs w:val="20"/>
                  </w:rPr>
                </m:ctrlPr>
              </m:fPr>
              <m:num>
                <m:r>
                  <m:rPr>
                    <m:sty m:val="p"/>
                  </m:rPr>
                  <w:rPr>
                    <w:rStyle w:val="23"/>
                    <w:rFonts w:ascii="Cambria Math" w:hAnsi="Cambria Math"/>
                    <w:szCs w:val="20"/>
                  </w:rPr>
                  <m:t>1</m:t>
                </m:r>
                <m:ctrlPr>
                  <w:rPr>
                    <w:rStyle w:val="23"/>
                    <w:rFonts w:ascii="Cambria Math" w:hAnsi="Cambria Math"/>
                    <w:szCs w:val="20"/>
                  </w:rPr>
                </m:ctrlPr>
              </m:num>
              <m:den>
                <m:r>
                  <m:rPr/>
                  <w:rPr>
                    <w:rStyle w:val="23"/>
                    <w:rFonts w:ascii="Cambria Math" w:hAnsi="Cambria Math"/>
                    <w:szCs w:val="20"/>
                  </w:rPr>
                  <m:t>n</m:t>
                </m:r>
                <m:r>
                  <m:rPr>
                    <m:sty m:val="p"/>
                  </m:rPr>
                  <w:rPr>
                    <w:rStyle w:val="23"/>
                    <w:rFonts w:ascii="Cambria Math" w:hAnsi="Cambria Math"/>
                    <w:szCs w:val="20"/>
                  </w:rPr>
                  <m:t>−1</m:t>
                </m:r>
                <m:ctrlPr>
                  <w:rPr>
                    <w:rStyle w:val="23"/>
                    <w:rFonts w:ascii="Cambria Math" w:hAnsi="Cambria Math"/>
                    <w:szCs w:val="20"/>
                  </w:rPr>
                </m:ctrlPr>
              </m:den>
            </m:f>
            <m:nary>
              <m:naryPr>
                <m:chr m:val="∑"/>
                <m:limLoc m:val="undOvr"/>
                <m:ctrlPr>
                  <w:rPr>
                    <w:rStyle w:val="23"/>
                    <w:rFonts w:ascii="Cambria Math" w:hAnsi="Cambria Math"/>
                    <w:szCs w:val="20"/>
                  </w:rPr>
                </m:ctrlPr>
              </m:naryPr>
              <m:sub>
                <m:r>
                  <m:rPr/>
                  <w:rPr>
                    <w:rStyle w:val="23"/>
                    <w:rFonts w:ascii="Cambria Math" w:hAnsi="Cambria Math"/>
                    <w:szCs w:val="20"/>
                  </w:rPr>
                  <m:t>i</m:t>
                </m:r>
                <m:r>
                  <m:rPr>
                    <m:sty m:val="p"/>
                  </m:rPr>
                  <w:rPr>
                    <w:rStyle w:val="23"/>
                    <w:rFonts w:ascii="Cambria Math" w:hAnsi="Cambria Math"/>
                    <w:szCs w:val="20"/>
                  </w:rPr>
                  <m:t>=1</m:t>
                </m:r>
                <m:ctrlPr>
                  <w:rPr>
                    <w:rStyle w:val="23"/>
                    <w:rFonts w:ascii="Cambria Math" w:hAnsi="Cambria Math"/>
                    <w:szCs w:val="20"/>
                  </w:rPr>
                </m:ctrlPr>
              </m:sub>
              <m:sup>
                <m:r>
                  <m:rPr/>
                  <w:rPr>
                    <w:rStyle w:val="23"/>
                    <w:rFonts w:ascii="Cambria Math" w:hAnsi="Cambria Math"/>
                    <w:szCs w:val="20"/>
                  </w:rPr>
                  <m:t>n</m:t>
                </m:r>
                <m:ctrlPr>
                  <w:rPr>
                    <w:rStyle w:val="23"/>
                    <w:rFonts w:ascii="Cambria Math" w:hAnsi="Cambria Math"/>
                    <w:szCs w:val="20"/>
                  </w:rPr>
                </m:ctrlPr>
              </m:sup>
              <m:e>
                <m:sSup>
                  <m:sSupPr>
                    <m:ctrlPr>
                      <w:rPr>
                        <w:rStyle w:val="23"/>
                        <w:rFonts w:ascii="Cambria Math" w:hAnsi="Cambria Math"/>
                        <w:szCs w:val="20"/>
                      </w:rPr>
                    </m:ctrlPr>
                  </m:sSupPr>
                  <m:e>
                    <m:sSub>
                      <m:sSubPr>
                        <m:ctrlPr>
                          <w:rPr>
                            <w:rStyle w:val="23"/>
                            <w:rFonts w:ascii="Cambria Math" w:hAnsi="Cambria Math"/>
                            <w:szCs w:val="20"/>
                          </w:rPr>
                        </m:ctrlPr>
                      </m:sSubPr>
                      <m:e>
                        <m:r>
                          <m:rPr>
                            <m:sty m:val="p"/>
                          </m:rPr>
                          <w:rPr>
                            <w:rStyle w:val="23"/>
                            <w:rFonts w:ascii="Cambria Math" w:hAnsi="Cambria Math"/>
                            <w:szCs w:val="20"/>
                          </w:rPr>
                          <m:t>(</m:t>
                        </m:r>
                        <m:r>
                          <m:rPr/>
                          <w:rPr>
                            <w:rStyle w:val="23"/>
                            <w:rFonts w:ascii="Cambria Math" w:hAnsi="Cambria Math"/>
                            <w:szCs w:val="20"/>
                          </w:rPr>
                          <m:t>F</m:t>
                        </m:r>
                        <m:ctrlPr>
                          <w:rPr>
                            <w:rStyle w:val="23"/>
                            <w:rFonts w:ascii="Cambria Math" w:hAnsi="Cambria Math"/>
                            <w:szCs w:val="20"/>
                          </w:rPr>
                        </m:ctrlPr>
                      </m:e>
                      <m:sub>
                        <m:r>
                          <m:rPr/>
                          <w:rPr>
                            <w:rStyle w:val="23"/>
                            <w:rFonts w:ascii="Cambria Math" w:hAnsi="Cambria Math"/>
                            <w:szCs w:val="20"/>
                          </w:rPr>
                          <m:t>ti</m:t>
                        </m:r>
                        <m:ctrlPr>
                          <w:rPr>
                            <w:rStyle w:val="23"/>
                            <w:rFonts w:ascii="Cambria Math" w:hAnsi="Cambria Math"/>
                            <w:szCs w:val="20"/>
                          </w:rPr>
                        </m:ctrlPr>
                      </m:sub>
                    </m:sSub>
                    <m:r>
                      <m:rPr>
                        <m:sty m:val="p"/>
                      </m:rPr>
                      <w:rPr>
                        <w:rStyle w:val="23"/>
                        <w:rFonts w:ascii="Cambria Math" w:hAnsi="Cambria Math"/>
                        <w:szCs w:val="20"/>
                      </w:rPr>
                      <m:t>−</m:t>
                    </m:r>
                    <m:acc>
                      <m:accPr>
                        <m:chr m:val="̅"/>
                        <m:ctrlPr>
                          <w:rPr>
                            <w:rStyle w:val="23"/>
                            <w:rFonts w:ascii="Cambria Math" w:hAnsi="Cambria Math"/>
                            <w:szCs w:val="20"/>
                          </w:rPr>
                        </m:ctrlPr>
                      </m:accPr>
                      <m:e>
                        <m:sSub>
                          <m:sSubPr>
                            <m:ctrlPr>
                              <w:rPr>
                                <w:rStyle w:val="23"/>
                                <w:rFonts w:ascii="Cambria Math" w:hAnsi="Cambria Math"/>
                                <w:i/>
                                <w:szCs w:val="20"/>
                              </w:rPr>
                            </m:ctrlPr>
                          </m:sSubPr>
                          <m:e>
                            <m:r>
                              <m:rPr/>
                              <w:rPr>
                                <w:rStyle w:val="23"/>
                                <w:rFonts w:ascii="Cambria Math" w:hAnsi="Cambria Math"/>
                                <w:szCs w:val="20"/>
                              </w:rPr>
                              <m:t>F</m:t>
                            </m:r>
                            <m:ctrlPr>
                              <w:rPr>
                                <w:rStyle w:val="23"/>
                                <w:rFonts w:ascii="Cambria Math" w:hAnsi="Cambria Math"/>
                                <w:i/>
                                <w:szCs w:val="20"/>
                              </w:rPr>
                            </m:ctrlPr>
                          </m:e>
                          <m:sub>
                            <m:r>
                              <m:rPr/>
                              <w:rPr>
                                <w:rStyle w:val="23"/>
                                <w:rFonts w:ascii="Cambria Math" w:hAnsi="Cambria Math"/>
                                <w:szCs w:val="20"/>
                              </w:rPr>
                              <m:t>t</m:t>
                            </m:r>
                            <m:ctrlPr>
                              <w:rPr>
                                <w:rStyle w:val="23"/>
                                <w:rFonts w:ascii="Cambria Math" w:hAnsi="Cambria Math"/>
                                <w:i/>
                                <w:szCs w:val="20"/>
                              </w:rPr>
                            </m:ctrlPr>
                          </m:sub>
                        </m:sSub>
                        <m:ctrlPr>
                          <w:rPr>
                            <w:rStyle w:val="23"/>
                            <w:rFonts w:ascii="Cambria Math" w:hAnsi="Cambria Math"/>
                            <w:szCs w:val="20"/>
                          </w:rPr>
                        </m:ctrlPr>
                      </m:e>
                    </m:acc>
                    <m:r>
                      <m:rPr>
                        <m:sty m:val="p"/>
                      </m:rPr>
                      <w:rPr>
                        <w:rStyle w:val="23"/>
                        <w:rFonts w:ascii="Cambria Math" w:hAnsi="Cambria Math"/>
                        <w:szCs w:val="20"/>
                      </w:rPr>
                      <m:t>)</m:t>
                    </m:r>
                    <m:ctrlPr>
                      <w:rPr>
                        <w:rStyle w:val="23"/>
                        <w:rFonts w:ascii="Cambria Math" w:hAnsi="Cambria Math"/>
                        <w:szCs w:val="20"/>
                      </w:rPr>
                    </m:ctrlPr>
                  </m:e>
                  <m:sup>
                    <m:r>
                      <m:rPr>
                        <m:sty m:val="p"/>
                      </m:rPr>
                      <w:rPr>
                        <w:rStyle w:val="23"/>
                        <w:rFonts w:ascii="Cambria Math" w:hAnsi="Cambria Math"/>
                        <w:szCs w:val="20"/>
                      </w:rPr>
                      <m:t>2</m:t>
                    </m:r>
                    <m:ctrlPr>
                      <w:rPr>
                        <w:rStyle w:val="23"/>
                        <w:rFonts w:ascii="Cambria Math" w:hAnsi="Cambria Math"/>
                        <w:szCs w:val="20"/>
                      </w:rPr>
                    </m:ctrlPr>
                  </m:sup>
                </m:sSup>
                <m:ctrlPr>
                  <w:rPr>
                    <w:rStyle w:val="23"/>
                    <w:rFonts w:ascii="Cambria Math" w:hAnsi="Cambria Math"/>
                    <w:szCs w:val="20"/>
                  </w:rPr>
                </m:ctrlPr>
              </m:e>
            </m:nary>
            <m:ctrlPr>
              <w:rPr>
                <w:rStyle w:val="23"/>
                <w:rFonts w:ascii="Cambria Math" w:hAnsi="Cambria Math"/>
                <w:szCs w:val="20"/>
              </w:rPr>
            </m:ctrlPr>
          </m:e>
        </m:rad>
      </m:oMath>
      <w:r>
        <w:rPr>
          <w:rStyle w:val="23"/>
          <w:rFonts w:ascii="Times New Roman" w:hAnsi="Times New Roman"/>
          <w:szCs w:val="20"/>
        </w:rPr>
        <w:tab/>
      </w:r>
      <w:r>
        <w:rPr>
          <w:rStyle w:val="23"/>
          <w:rFonts w:ascii="Times New Roman" w:hAnsi="Times New Roman"/>
          <w:szCs w:val="20"/>
        </w:rPr>
        <w:t>（3）</w:t>
      </w:r>
    </w:p>
    <w:p w14:paraId="59276D5B">
      <w:pPr>
        <w:tabs>
          <w:tab w:val="center" w:pos="1537"/>
          <w:tab w:val="center" w:pos="4150"/>
          <w:tab w:val="right" w:pos="10104"/>
        </w:tabs>
        <w:spacing w:line="360" w:lineRule="auto"/>
        <w:ind w:firstLine="480" w:firstLineChars="200"/>
        <w:rPr>
          <w:rStyle w:val="23"/>
          <w:rFonts w:ascii="Times New Roman" w:hAnsi="Times New Roman"/>
          <w:szCs w:val="20"/>
        </w:rPr>
      </w:pPr>
      <w:r>
        <w:rPr>
          <w:rStyle w:val="23"/>
          <w:rFonts w:ascii="Times New Roman" w:hAnsi="Times New Roman"/>
          <w:szCs w:val="20"/>
        </w:rPr>
        <w:t>基于公式（1）～（3），计算得到切向加载力和结构变形量的最佳估计值及标准偏差，如表3所示。</w:t>
      </w:r>
    </w:p>
    <w:p w14:paraId="589B2867">
      <w:pPr>
        <w:snapToGrid w:val="0"/>
        <w:spacing w:line="360" w:lineRule="auto"/>
        <w:jc w:val="center"/>
        <w:rPr>
          <w:b/>
          <w:bCs/>
          <w:sz w:val="24"/>
          <w:szCs w:val="24"/>
        </w:rPr>
      </w:pPr>
      <w:r>
        <w:rPr>
          <w:b/>
          <w:bCs/>
        </w:rPr>
        <w:t>表B.3 直接测量量的最佳估计及标准偏差</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126"/>
        <w:gridCol w:w="1847"/>
      </w:tblGrid>
      <w:tr w14:paraId="01B0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5369EA48">
            <w:pPr>
              <w:tabs>
                <w:tab w:val="center" w:pos="1537"/>
                <w:tab w:val="center" w:pos="4150"/>
                <w:tab w:val="right" w:pos="10104"/>
              </w:tabs>
              <w:spacing w:line="360" w:lineRule="auto"/>
              <w:jc w:val="center"/>
              <w:rPr>
                <w:rStyle w:val="23"/>
                <w:rFonts w:ascii="Times New Roman" w:hAnsi="Times New Roman"/>
                <w:sz w:val="21"/>
              </w:rPr>
            </w:pPr>
            <w:r>
              <w:t>直接测量</w:t>
            </w:r>
            <w:r>
              <w:rPr>
                <w:rStyle w:val="23"/>
                <w:rFonts w:ascii="Times New Roman" w:hAnsi="Times New Roman"/>
                <w:sz w:val="21"/>
              </w:rPr>
              <w:t>项点</w:t>
            </w:r>
          </w:p>
        </w:tc>
        <w:tc>
          <w:tcPr>
            <w:tcW w:w="2126" w:type="dxa"/>
            <w:vAlign w:val="center"/>
          </w:tcPr>
          <w:p w14:paraId="214DB775">
            <w:pPr>
              <w:tabs>
                <w:tab w:val="center" w:pos="1537"/>
                <w:tab w:val="center" w:pos="4150"/>
                <w:tab w:val="right" w:pos="10104"/>
              </w:tabs>
              <w:spacing w:line="360" w:lineRule="auto"/>
              <w:jc w:val="center"/>
              <w:rPr>
                <w:rStyle w:val="23"/>
                <w:rFonts w:ascii="Times New Roman" w:hAnsi="Times New Roman"/>
                <w:sz w:val="21"/>
              </w:rPr>
            </w:pPr>
            <w:r>
              <w:rPr>
                <w:rStyle w:val="23"/>
                <w:rFonts w:ascii="Times New Roman" w:hAnsi="Times New Roman"/>
                <w:sz w:val="21"/>
              </w:rPr>
              <w:t>最佳估计值（</w:t>
            </w:r>
            <m:oMath>
              <m:acc>
                <m:accPr>
                  <m:chr m:val="̅"/>
                  <m:ctrlPr>
                    <w:rPr>
                      <w:rStyle w:val="23"/>
                      <w:rFonts w:ascii="Cambria Math" w:hAnsi="Cambria Math"/>
                      <w:sz w:val="21"/>
                    </w:rPr>
                  </m:ctrlPr>
                </m:accPr>
                <m:e>
                  <m:sSub>
                    <m:sSubPr>
                      <m:ctrlPr>
                        <w:rPr>
                          <w:rFonts w:ascii="Cambria Math" w:hAnsi="Cambria Math"/>
                          <w:i/>
                          <w:color w:val="000000"/>
                          <w:kern w:val="0"/>
                        </w:rPr>
                      </m:ctrlPr>
                    </m:sSubPr>
                    <m:e>
                      <m:r>
                        <m:rPr/>
                        <w:rPr>
                          <w:rFonts w:ascii="Cambria Math" w:hAnsi="Cambria Math"/>
                          <w:color w:val="000000"/>
                          <w:kern w:val="0"/>
                        </w:rPr>
                        <m:t>F</m:t>
                      </m:r>
                      <m:ctrlPr>
                        <w:rPr>
                          <w:rFonts w:ascii="Cambria Math" w:hAnsi="Cambria Math"/>
                          <w:i/>
                          <w:color w:val="000000"/>
                          <w:kern w:val="0"/>
                        </w:rPr>
                      </m:ctrlPr>
                    </m:e>
                    <m:sub>
                      <m:r>
                        <m:rPr>
                          <m:sty m:val="p"/>
                        </m:rPr>
                        <w:rPr>
                          <w:rFonts w:ascii="Cambria Math" w:hAnsi="Cambria Math"/>
                          <w:color w:val="000000"/>
                          <w:kern w:val="0"/>
                        </w:rPr>
                        <m:t>t</m:t>
                      </m:r>
                      <m:ctrlPr>
                        <w:rPr>
                          <w:rFonts w:ascii="Cambria Math" w:hAnsi="Cambria Math"/>
                          <w:i/>
                          <w:color w:val="000000"/>
                          <w:kern w:val="0"/>
                        </w:rPr>
                      </m:ctrlPr>
                    </m:sub>
                  </m:sSub>
                  <m:ctrlPr>
                    <w:rPr>
                      <w:rStyle w:val="23"/>
                      <w:rFonts w:ascii="Cambria Math" w:hAnsi="Cambria Math"/>
                      <w:sz w:val="21"/>
                    </w:rPr>
                  </m:ctrlPr>
                </m:e>
              </m:acc>
            </m:oMath>
            <w:r>
              <w:rPr>
                <w:rStyle w:val="23"/>
                <w:rFonts w:ascii="Times New Roman" w:hAnsi="Times New Roman"/>
                <w:sz w:val="21"/>
              </w:rPr>
              <w:t>）</w:t>
            </w:r>
          </w:p>
        </w:tc>
        <w:tc>
          <w:tcPr>
            <w:tcW w:w="1847" w:type="dxa"/>
            <w:vAlign w:val="center"/>
          </w:tcPr>
          <w:p w14:paraId="3D83BB2D">
            <w:pPr>
              <w:tabs>
                <w:tab w:val="center" w:pos="1537"/>
                <w:tab w:val="center" w:pos="4150"/>
                <w:tab w:val="right" w:pos="10104"/>
              </w:tabs>
              <w:spacing w:line="360" w:lineRule="auto"/>
              <w:jc w:val="center"/>
              <w:rPr>
                <w:rStyle w:val="23"/>
                <w:rFonts w:ascii="Times New Roman" w:hAnsi="Times New Roman"/>
                <w:sz w:val="21"/>
              </w:rPr>
            </w:pPr>
            <w:r>
              <w:rPr>
                <w:rStyle w:val="23"/>
                <w:rFonts w:ascii="Times New Roman" w:hAnsi="Times New Roman"/>
                <w:sz w:val="21"/>
              </w:rPr>
              <w:t>标准偏差</w:t>
            </w:r>
            <m:oMath>
              <m:r>
                <m:rPr/>
                <w:rPr>
                  <w:rStyle w:val="23"/>
                  <w:rFonts w:ascii="Cambria Math" w:hAnsi="Cambria Math"/>
                  <w:sz w:val="21"/>
                </w:rPr>
                <m:t>s</m:t>
              </m:r>
              <m:r>
                <m:rPr>
                  <m:sty m:val="p"/>
                </m:rPr>
                <w:rPr>
                  <w:rStyle w:val="23"/>
                  <w:rFonts w:ascii="Cambria Math" w:hAnsi="Cambria Math"/>
                  <w:sz w:val="21"/>
                </w:rPr>
                <m:t>(</m:t>
              </m:r>
              <m:sSub>
                <m:sSubPr>
                  <m:ctrlPr>
                    <w:rPr>
                      <w:rFonts w:ascii="Cambria Math" w:hAnsi="Cambria Math"/>
                      <w:i/>
                      <w:color w:val="000000"/>
                      <w:kern w:val="0"/>
                    </w:rPr>
                  </m:ctrlPr>
                </m:sSubPr>
                <m:e>
                  <m:r>
                    <m:rPr/>
                    <w:rPr>
                      <w:rFonts w:ascii="Cambria Math" w:hAnsi="Cambria Math"/>
                      <w:color w:val="000000"/>
                      <w:kern w:val="0"/>
                    </w:rPr>
                    <m:t>F</m:t>
                  </m:r>
                  <m:ctrlPr>
                    <w:rPr>
                      <w:rFonts w:ascii="Cambria Math" w:hAnsi="Cambria Math"/>
                      <w:i/>
                      <w:color w:val="000000"/>
                      <w:kern w:val="0"/>
                    </w:rPr>
                  </m:ctrlPr>
                </m:e>
                <m:sub>
                  <m:r>
                    <m:rPr/>
                    <w:rPr>
                      <w:rFonts w:ascii="Cambria Math" w:hAnsi="Cambria Math"/>
                      <w:color w:val="000000"/>
                      <w:kern w:val="0"/>
                    </w:rPr>
                    <m:t>tk</m:t>
                  </m:r>
                  <m:ctrlPr>
                    <w:rPr>
                      <w:rFonts w:ascii="Cambria Math" w:hAnsi="Cambria Math"/>
                      <w:i/>
                      <w:color w:val="000000"/>
                      <w:kern w:val="0"/>
                    </w:rPr>
                  </m:ctrlPr>
                </m:sub>
              </m:sSub>
              <m:r>
                <m:rPr>
                  <m:sty m:val="p"/>
                </m:rPr>
                <w:rPr>
                  <w:rStyle w:val="23"/>
                  <w:rFonts w:ascii="Cambria Math" w:hAnsi="Cambria Math"/>
                  <w:sz w:val="21"/>
                </w:rPr>
                <m:t>)</m:t>
              </m:r>
            </m:oMath>
          </w:p>
        </w:tc>
      </w:tr>
      <w:tr w14:paraId="7E1AA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6C02B0D3">
            <w:pPr>
              <w:widowControl/>
              <w:jc w:val="center"/>
              <w:rPr>
                <w:rStyle w:val="23"/>
                <w:rFonts w:ascii="Times New Roman" w:hAnsi="Times New Roman"/>
                <w:color w:val="000000"/>
                <w:kern w:val="0"/>
                <w:sz w:val="21"/>
              </w:rPr>
            </w:pPr>
            <w:r>
              <w:rPr>
                <w:color w:val="000000"/>
                <w:kern w:val="0"/>
              </w:rPr>
              <w:t>待测力传感器示值</w:t>
            </w:r>
            <m:oMath>
              <m:sSub>
                <m:sSubPr>
                  <m:ctrlPr>
                    <w:rPr>
                      <w:rFonts w:ascii="Cambria Math" w:hAnsi="Cambria Math"/>
                      <w:i/>
                      <w:color w:val="000000"/>
                      <w:kern w:val="0"/>
                    </w:rPr>
                  </m:ctrlPr>
                </m:sSubPr>
                <m:e>
                  <m:r>
                    <m:rPr/>
                    <w:rPr>
                      <w:rFonts w:ascii="Cambria Math" w:hAnsi="Cambria Math"/>
                      <w:color w:val="000000"/>
                      <w:kern w:val="0"/>
                    </w:rPr>
                    <m:t>F</m:t>
                  </m:r>
                  <m:ctrlPr>
                    <w:rPr>
                      <w:rFonts w:ascii="Cambria Math" w:hAnsi="Cambria Math"/>
                      <w:i/>
                      <w:color w:val="000000"/>
                      <w:kern w:val="0"/>
                    </w:rPr>
                  </m:ctrlPr>
                </m:e>
                <m:sub>
                  <m:r>
                    <m:rPr>
                      <m:sty m:val="p"/>
                    </m:rPr>
                    <w:rPr>
                      <w:rFonts w:ascii="Cambria Math" w:hAnsi="Cambria Math"/>
                      <w:color w:val="000000"/>
                      <w:kern w:val="0"/>
                    </w:rPr>
                    <m:t>t</m:t>
                  </m:r>
                  <m:ctrlPr>
                    <w:rPr>
                      <w:rFonts w:ascii="Cambria Math" w:hAnsi="Cambria Math"/>
                      <w:i/>
                      <w:color w:val="000000"/>
                      <w:kern w:val="0"/>
                    </w:rPr>
                  </m:ctrlPr>
                </m:sub>
              </m:sSub>
            </m:oMath>
            <w:r>
              <w:rPr>
                <w:color w:val="000000"/>
                <w:kern w:val="0"/>
              </w:rPr>
              <w:t xml:space="preserve"> / N</w:t>
            </w:r>
          </w:p>
        </w:tc>
        <w:tc>
          <w:tcPr>
            <w:tcW w:w="2126" w:type="dxa"/>
            <w:vAlign w:val="center"/>
          </w:tcPr>
          <w:p w14:paraId="3E4671DC">
            <w:pPr>
              <w:tabs>
                <w:tab w:val="center" w:pos="1537"/>
                <w:tab w:val="center" w:pos="4150"/>
                <w:tab w:val="right" w:pos="10104"/>
              </w:tabs>
              <w:spacing w:line="360" w:lineRule="auto"/>
              <w:jc w:val="center"/>
              <w:rPr>
                <w:rStyle w:val="23"/>
                <w:rFonts w:ascii="Times New Roman" w:hAnsi="Times New Roman"/>
                <w:color w:val="000000"/>
                <w:kern w:val="0"/>
                <w:sz w:val="21"/>
              </w:rPr>
            </w:pPr>
            <w:r>
              <w:t>50.</w:t>
            </w:r>
            <w:r>
              <w:rPr>
                <w:rFonts w:hint="eastAsia"/>
              </w:rPr>
              <w:t>74</w:t>
            </w:r>
          </w:p>
        </w:tc>
        <w:tc>
          <w:tcPr>
            <w:tcW w:w="1847" w:type="dxa"/>
            <w:vAlign w:val="center"/>
          </w:tcPr>
          <w:p w14:paraId="2F8AE25C">
            <w:pPr>
              <w:tabs>
                <w:tab w:val="center" w:pos="1537"/>
                <w:tab w:val="center" w:pos="4150"/>
                <w:tab w:val="right" w:pos="10104"/>
              </w:tabs>
              <w:spacing w:line="360" w:lineRule="auto"/>
              <w:jc w:val="center"/>
              <w:rPr>
                <w:rStyle w:val="23"/>
                <w:rFonts w:ascii="Times New Roman" w:hAnsi="Times New Roman"/>
                <w:sz w:val="21"/>
              </w:rPr>
            </w:pPr>
            <w:r>
              <w:rPr>
                <w:rFonts w:hint="eastAsia"/>
              </w:rPr>
              <w:t>0.48</w:t>
            </w:r>
          </w:p>
        </w:tc>
      </w:tr>
    </w:tbl>
    <w:p w14:paraId="600445BB">
      <w:pPr>
        <w:tabs>
          <w:tab w:val="center" w:pos="4150"/>
          <w:tab w:val="right" w:pos="10103"/>
        </w:tabs>
        <w:spacing w:line="360" w:lineRule="auto"/>
        <w:ind w:firstLine="240" w:firstLineChars="100"/>
        <w:rPr>
          <w:sz w:val="24"/>
          <w:szCs w:val="24"/>
        </w:rPr>
      </w:pPr>
      <w:r>
        <w:rPr>
          <w:sz w:val="24"/>
          <w:szCs w:val="24"/>
        </w:rPr>
        <w:t>设待测力传感器自身测量不确定度分量为</w:t>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oMath>
      <w:r>
        <w:rPr>
          <w:sz w:val="24"/>
          <w:szCs w:val="24"/>
        </w:rPr>
        <w:t>，标准测力仪的测量不确定度分量为</w:t>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r>
        <w:rPr>
          <w:sz w:val="24"/>
          <w:szCs w:val="24"/>
        </w:rPr>
        <w:t>，假设其服从均匀分布，</w:t>
      </w:r>
      <w:r>
        <w:rPr>
          <w:i/>
          <w:iCs/>
          <w:sz w:val="24"/>
          <w:szCs w:val="24"/>
        </w:rPr>
        <w:t>k</w:t>
      </w:r>
      <w:r>
        <w:rPr>
          <w:sz w:val="24"/>
          <w:szCs w:val="24"/>
        </w:rPr>
        <w:t>取</w:t>
      </w:r>
      <m:oMath>
        <m:rad>
          <m:radPr>
            <m:degHide m:val="1"/>
            <m:ctrlPr>
              <w:rPr>
                <w:rFonts w:ascii="Cambria Math" w:hAnsi="Cambria Math"/>
                <w:i/>
                <w:sz w:val="22"/>
                <w:szCs w:val="22"/>
              </w:rPr>
            </m:ctrlPr>
          </m:radPr>
          <m:deg>
            <m:ctrlPr>
              <w:rPr>
                <w:rFonts w:ascii="Cambria Math" w:hAnsi="Cambria Math"/>
                <w:i/>
                <w:sz w:val="22"/>
                <w:szCs w:val="22"/>
              </w:rPr>
            </m:ctrlPr>
          </m:deg>
          <m:e>
            <m:r>
              <m:rPr/>
              <w:rPr>
                <w:rFonts w:ascii="Cambria Math" w:hAnsi="Cambria Math"/>
                <w:sz w:val="22"/>
                <w:szCs w:val="22"/>
              </w:rPr>
              <m:t>10</m:t>
            </m:r>
            <m:ctrlPr>
              <w:rPr>
                <w:rFonts w:ascii="Cambria Math" w:hAnsi="Cambria Math"/>
                <w:i/>
                <w:sz w:val="22"/>
                <w:szCs w:val="22"/>
              </w:rPr>
            </m:ctrlPr>
          </m:e>
        </m:rad>
      </m:oMath>
      <w:r>
        <w:rPr>
          <w:sz w:val="24"/>
          <w:szCs w:val="24"/>
        </w:rPr>
        <w:t>，</w:t>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oMath>
      <w:r>
        <w:rPr>
          <w:sz w:val="24"/>
          <w:szCs w:val="24"/>
        </w:rPr>
        <w:t>采用B类评定法，则有：</w:t>
      </w:r>
    </w:p>
    <w:p w14:paraId="1EF3F738">
      <w:pPr>
        <w:tabs>
          <w:tab w:val="center" w:pos="4150"/>
          <w:tab w:val="right" w:pos="10103"/>
        </w:tabs>
        <w:spacing w:line="360" w:lineRule="auto"/>
        <w:ind w:firstLine="240" w:firstLineChars="100"/>
        <w:rPr>
          <w:sz w:val="24"/>
          <w:szCs w:val="24"/>
        </w:rPr>
      </w:pPr>
      <w:r>
        <w:rPr>
          <w:sz w:val="24"/>
          <w:szCs w:val="24"/>
        </w:rPr>
        <w:tab/>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bCs/>
                    <w:sz w:val="24"/>
                    <w:szCs w:val="24"/>
                  </w:rPr>
                </m:ctrlPr>
              </m:sSubPr>
              <m:e>
                <m:r>
                  <m:rPr/>
                  <w:rPr>
                    <w:rFonts w:ascii="Cambria Math" w:hAnsi="Cambria Math"/>
                    <w:sz w:val="24"/>
                    <w:szCs w:val="24"/>
                  </w:rPr>
                  <m:t>S</m:t>
                </m:r>
                <m:ctrlPr>
                  <w:rPr>
                    <w:rFonts w:ascii="Cambria Math" w:hAnsi="Cambria Math"/>
                    <w:bCs/>
                    <w:sz w:val="24"/>
                    <w:szCs w:val="24"/>
                  </w:rPr>
                </m:ctrlPr>
              </m:e>
              <m:sub>
                <m:r>
                  <m:rPr/>
                  <w:rPr>
                    <w:rFonts w:ascii="Cambria Math" w:hAnsi="Cambria Math"/>
                    <w:sz w:val="24"/>
                    <w:szCs w:val="24"/>
                  </w:rPr>
                  <m:t>1</m:t>
                </m:r>
                <m:ctrlPr>
                  <w:rPr>
                    <w:rFonts w:ascii="Cambria Math" w:hAnsi="Cambria Math"/>
                    <w:bCs/>
                    <w:sz w:val="24"/>
                    <w:szCs w:val="24"/>
                  </w:rPr>
                </m:ctrlPr>
              </m:sub>
            </m:sSub>
            <m:ctrlPr>
              <w:rPr>
                <w:rFonts w:ascii="Cambria Math" w:hAnsi="Cambria Math"/>
                <w:sz w:val="24"/>
                <w:szCs w:val="24"/>
              </w:rPr>
            </m:ctrlPr>
          </m:num>
          <m:den>
            <m:r>
              <m:rPr>
                <m:sty m:val="p"/>
              </m:rPr>
              <w:rPr>
                <w:rFonts w:ascii="Cambria Math" w:hAnsi="Cambria Math"/>
                <w:sz w:val="24"/>
                <w:szCs w:val="24"/>
              </w:rPr>
              <m:t>k</m:t>
            </m:r>
            <m:ctrlPr>
              <w:rPr>
                <w:rFonts w:ascii="Cambria Math" w:hAnsi="Cambria Math"/>
                <w:sz w:val="24"/>
                <w:szCs w:val="24"/>
              </w:rPr>
            </m:ctrlPr>
          </m:den>
        </m:f>
        <m:r>
          <m:rPr/>
          <w:rPr>
            <w:rStyle w:val="73"/>
            <w:rFonts w:ascii="Cambria Math" w:hAnsi="Cambria Math"/>
            <w:color w:val="404040"/>
            <w:sz w:val="24"/>
            <w:szCs w:val="24"/>
            <w:shd w:val="clear" w:color="auto" w:fill="FFFFFF"/>
          </w:rPr>
          <m:t xml:space="preserve">≈ </m:t>
        </m:r>
        <m:r>
          <m:rPr>
            <m:sty m:val="p"/>
          </m:rPr>
          <w:rPr>
            <w:rFonts w:ascii="Cambria Math" w:hAnsi="Cambria Math"/>
            <w:sz w:val="24"/>
            <w:szCs w:val="24"/>
          </w:rPr>
          <m:t>0.15</m:t>
        </m:r>
        <m:r>
          <m:rPr/>
          <w:rPr>
            <w:rFonts w:ascii="Cambria Math" w:hAnsi="Cambria Math"/>
            <w:sz w:val="24"/>
            <w:szCs w:val="24"/>
          </w:rPr>
          <m:t>N</m:t>
        </m:r>
      </m:oMath>
      <w:r>
        <w:rPr>
          <w:sz w:val="24"/>
          <w:szCs w:val="24"/>
        </w:rPr>
        <w:tab/>
      </w:r>
      <w:r>
        <w:rPr>
          <w:sz w:val="24"/>
          <w:szCs w:val="24"/>
        </w:rPr>
        <w:t>（4）</w:t>
      </w:r>
    </w:p>
    <w:p w14:paraId="105FE27C">
      <w:pPr>
        <w:tabs>
          <w:tab w:val="center" w:pos="4150"/>
          <w:tab w:val="right" w:pos="10103"/>
        </w:tabs>
        <w:spacing w:line="360" w:lineRule="auto"/>
        <w:ind w:firstLine="240" w:firstLineChars="100"/>
        <w:rPr>
          <w:sz w:val="24"/>
          <w:szCs w:val="24"/>
        </w:rPr>
      </w:pPr>
      <w:r>
        <w:rPr>
          <w:sz w:val="24"/>
          <w:szCs w:val="24"/>
        </w:rPr>
        <w:tab/>
      </w:r>
      <m:oMath>
        <m:sSub>
          <m:sSubPr>
            <m:ctrlPr>
              <w:rPr>
                <w:rFonts w:ascii="Cambria Math" w:hAnsi="Cambria Math"/>
                <w:sz w:val="24"/>
                <w:szCs w:val="24"/>
              </w:rPr>
            </m:ctrlPr>
          </m:sSub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2</m:t>
            </m:r>
            <m:ctrlPr>
              <w:rPr>
                <w:rFonts w:ascii="Cambria Math" w:hAnsi="Cambria Math"/>
                <w:sz w:val="24"/>
                <w:szCs w:val="24"/>
              </w:rPr>
            </m:ctrlPr>
          </m:sub>
        </m:sSub>
        <m:r>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bCs/>
                    <w:sz w:val="24"/>
                    <w:szCs w:val="24"/>
                  </w:rPr>
                </m:ctrlPr>
              </m:sSubPr>
              <m:e>
                <m:r>
                  <m:rPr/>
                  <w:rPr>
                    <w:rFonts w:ascii="Cambria Math" w:hAnsi="Cambria Math"/>
                    <w:sz w:val="24"/>
                    <w:szCs w:val="24"/>
                  </w:rPr>
                  <m:t>S</m:t>
                </m:r>
                <m:ctrlPr>
                  <w:rPr>
                    <w:rFonts w:ascii="Cambria Math" w:hAnsi="Cambria Math"/>
                    <w:bCs/>
                    <w:sz w:val="24"/>
                    <w:szCs w:val="24"/>
                  </w:rPr>
                </m:ctrlPr>
              </m:e>
              <m:sub>
                <m:r>
                  <m:rPr/>
                  <w:rPr>
                    <w:rFonts w:ascii="Cambria Math" w:hAnsi="Cambria Math"/>
                    <w:sz w:val="24"/>
                    <w:szCs w:val="24"/>
                  </w:rPr>
                  <m:t>2</m:t>
                </m:r>
                <m:ctrlPr>
                  <w:rPr>
                    <w:rFonts w:ascii="Cambria Math" w:hAnsi="Cambria Math"/>
                    <w:bCs/>
                    <w:sz w:val="24"/>
                    <w:szCs w:val="24"/>
                  </w:rPr>
                </m:ctrlPr>
              </m:sub>
            </m:sSub>
            <m:ctrlPr>
              <w:rPr>
                <w:rFonts w:ascii="Cambria Math" w:hAnsi="Cambria Math"/>
                <w:sz w:val="24"/>
                <w:szCs w:val="24"/>
              </w:rPr>
            </m:ctrlPr>
          </m:num>
          <m:den>
            <m:rad>
              <m:radPr>
                <m:degHide m:val="1"/>
                <m:ctrlPr>
                  <w:rPr>
                    <w:rFonts w:ascii="Cambria Math" w:hAnsi="Cambria Math"/>
                    <w:i/>
                    <w:sz w:val="22"/>
                    <w:szCs w:val="22"/>
                  </w:rPr>
                </m:ctrlPr>
              </m:radPr>
              <m:deg>
                <m:ctrlPr>
                  <w:rPr>
                    <w:rFonts w:ascii="Cambria Math" w:hAnsi="Cambria Math"/>
                    <w:i/>
                    <w:sz w:val="22"/>
                    <w:szCs w:val="22"/>
                  </w:rPr>
                </m:ctrlPr>
              </m:deg>
              <m:e>
                <m:r>
                  <m:rPr/>
                  <w:rPr>
                    <w:rFonts w:ascii="Cambria Math" w:hAnsi="Cambria Math"/>
                    <w:sz w:val="22"/>
                    <w:szCs w:val="22"/>
                  </w:rPr>
                  <m:t>3</m:t>
                </m:r>
                <m:ctrlPr>
                  <w:rPr>
                    <w:rFonts w:ascii="Cambria Math" w:hAnsi="Cambria Math"/>
                    <w:i/>
                    <w:sz w:val="22"/>
                    <w:szCs w:val="22"/>
                  </w:rPr>
                </m:ctrlPr>
              </m:e>
            </m:rad>
            <m:ctrlPr>
              <w:rPr>
                <w:rFonts w:ascii="Cambria Math" w:hAnsi="Cambria Math"/>
                <w:sz w:val="24"/>
                <w:szCs w:val="24"/>
              </w:rPr>
            </m:ctrlPr>
          </m:den>
        </m:f>
        <m:r>
          <m:rPr/>
          <w:rPr>
            <w:rStyle w:val="73"/>
            <w:rFonts w:ascii="Cambria Math" w:hAnsi="Cambria Math"/>
            <w:color w:val="404040"/>
            <w:sz w:val="24"/>
            <w:szCs w:val="24"/>
            <w:shd w:val="clear" w:color="auto" w:fill="FFFFFF"/>
          </w:rPr>
          <m:t xml:space="preserve">≈ </m:t>
        </m:r>
        <m:r>
          <m:rPr>
            <m:sty m:val="p"/>
          </m:rPr>
          <w:rPr>
            <w:rFonts w:ascii="Cambria Math" w:hAnsi="Cambria Math"/>
            <w:sz w:val="24"/>
            <w:szCs w:val="24"/>
          </w:rPr>
          <m:t>0.06</m:t>
        </m:r>
        <m:r>
          <m:rPr/>
          <w:rPr>
            <w:rFonts w:ascii="Cambria Math" w:hAnsi="Cambria Math"/>
            <w:sz w:val="24"/>
            <w:szCs w:val="24"/>
          </w:rPr>
          <m:t>N</m:t>
        </m:r>
      </m:oMath>
      <w:r>
        <w:rPr>
          <w:sz w:val="24"/>
          <w:szCs w:val="24"/>
        </w:rPr>
        <w:tab/>
      </w:r>
      <w:r>
        <w:rPr>
          <w:sz w:val="24"/>
          <w:szCs w:val="24"/>
        </w:rPr>
        <w:t>（5）</w:t>
      </w:r>
    </w:p>
    <w:p w14:paraId="498058EE">
      <w:pPr>
        <w:spacing w:before="156" w:beforeLines="50" w:line="360" w:lineRule="auto"/>
        <w:rPr>
          <w:rFonts w:eastAsia="仿宋"/>
          <w:sz w:val="24"/>
          <w:szCs w:val="24"/>
        </w:rPr>
      </w:pPr>
      <w:r>
        <w:rPr>
          <w:rFonts w:eastAsia="仿宋"/>
          <w:sz w:val="24"/>
          <w:szCs w:val="24"/>
        </w:rPr>
        <w:t>B.7.3合成不确定度</w:t>
      </w:r>
    </w:p>
    <w:p w14:paraId="5BE090E7">
      <w:pPr>
        <w:spacing w:line="360" w:lineRule="auto"/>
        <w:ind w:firstLine="480" w:firstLineChars="200"/>
        <w:rPr>
          <w:rStyle w:val="23"/>
          <w:rFonts w:ascii="Times New Roman" w:hAnsi="Times New Roman"/>
          <w:szCs w:val="20"/>
        </w:rPr>
      </w:pPr>
      <w:r>
        <w:rPr>
          <w:rStyle w:val="23"/>
          <w:rFonts w:ascii="Times New Roman" w:hAnsi="Times New Roman"/>
          <w:szCs w:val="20"/>
        </w:rPr>
        <w:t>对光谱共焦传感器自身不确定度与标准激光干涉仪的不确定度进行合成，得到间接被校准光谱共焦传感器的合成标准不确定度：</w:t>
      </w:r>
    </w:p>
    <w:p w14:paraId="5123E414">
      <w:pPr>
        <w:tabs>
          <w:tab w:val="center" w:pos="4150"/>
          <w:tab w:val="right" w:pos="10103"/>
        </w:tabs>
        <w:spacing w:line="360" w:lineRule="auto"/>
        <w:ind w:firstLine="480" w:firstLineChars="200"/>
        <w:rPr>
          <w:sz w:val="24"/>
          <w:szCs w:val="24"/>
        </w:rPr>
      </w:pPr>
      <w:r>
        <w:rPr>
          <w:sz w:val="24"/>
          <w:szCs w:val="24"/>
        </w:rPr>
        <w:tab/>
      </w:r>
      <m:oMath>
        <m:sSub>
          <m:sSubPr>
            <m:ctrlPr>
              <w:rPr>
                <w:rFonts w:ascii="Cambria Math" w:hAnsi="Cambria Math"/>
                <w:i/>
                <w:iCs/>
                <w:sz w:val="24"/>
                <w:szCs w:val="24"/>
              </w:rPr>
            </m:ctrlPr>
          </m:sSubPr>
          <m:e>
            <m:r>
              <m:rPr/>
              <w:rPr>
                <w:rFonts w:ascii="Cambria Math" w:hAnsi="Cambria Math"/>
                <w:sz w:val="24"/>
                <w:szCs w:val="24"/>
              </w:rPr>
              <m:t>u</m:t>
            </m:r>
            <m:ctrlPr>
              <w:rPr>
                <w:rFonts w:ascii="Cambria Math" w:hAnsi="Cambria Math"/>
                <w:i/>
                <w:iCs/>
                <w:sz w:val="24"/>
                <w:szCs w:val="24"/>
              </w:rPr>
            </m:ctrlPr>
          </m:e>
          <m:sub>
            <m:sSub>
              <m:sSubPr>
                <m:ctrlPr>
                  <w:rPr>
                    <w:rFonts w:ascii="Cambria Math" w:hAnsi="Cambria Math"/>
                    <w:i/>
                    <w:iCs/>
                    <w:sz w:val="24"/>
                    <w:szCs w:val="24"/>
                    <w:vertAlign w:val="subscript"/>
                  </w:rPr>
                </m:ctrlPr>
              </m:sSubPr>
              <m:e>
                <m:r>
                  <m:rPr/>
                  <w:rPr>
                    <w:rFonts w:ascii="Cambria Math" w:hAnsi="Cambria Math"/>
                    <w:sz w:val="24"/>
                    <w:szCs w:val="24"/>
                    <w:vertAlign w:val="subscript"/>
                  </w:rPr>
                  <m:t>F</m:t>
                </m:r>
                <m:ctrlPr>
                  <w:rPr>
                    <w:rFonts w:ascii="Cambria Math" w:hAnsi="Cambria Math"/>
                    <w:i/>
                    <w:iCs/>
                    <w:sz w:val="24"/>
                    <w:szCs w:val="24"/>
                    <w:vertAlign w:val="subscript"/>
                  </w:rPr>
                </m:ctrlPr>
              </m:e>
              <m:sub>
                <m:r>
                  <m:rPr/>
                  <w:rPr>
                    <w:rFonts w:ascii="Cambria Math" w:hAnsi="Cambria Math"/>
                    <w:sz w:val="24"/>
                    <w:szCs w:val="24"/>
                    <w:vertAlign w:val="subscript"/>
                  </w:rPr>
                  <m:t>t0</m:t>
                </m:r>
                <m:ctrlPr>
                  <w:rPr>
                    <w:rFonts w:ascii="Cambria Math" w:hAnsi="Cambria Math"/>
                    <w:i/>
                    <w:iCs/>
                    <w:sz w:val="24"/>
                    <w:szCs w:val="24"/>
                    <w:vertAlign w:val="subscript"/>
                  </w:rPr>
                </m:ctrlPr>
              </m:sub>
            </m:sSub>
            <m:ctrlPr>
              <w:rPr>
                <w:rFonts w:ascii="Cambria Math" w:hAnsi="Cambria Math"/>
                <w:i/>
                <w:iCs/>
                <w:sz w:val="24"/>
                <w:szCs w:val="24"/>
              </w:rPr>
            </m:ctrlPr>
          </m:sub>
        </m:sSub>
        <m:r>
          <m:rPr>
            <m:sty m:val="p"/>
          </m:rPr>
          <w:rPr>
            <w:rFonts w:ascii="Cambria Math" w:hAnsi="Cambria Math"/>
            <w:sz w:val="24"/>
            <w:szCs w:val="24"/>
          </w:rPr>
          <m:t>=</m:t>
        </m:r>
        <m:rad>
          <m:radPr>
            <m:degHide m:val="1"/>
            <m:ctrlPr>
              <w:rPr>
                <w:rStyle w:val="23"/>
                <w:rFonts w:ascii="Cambria Math" w:hAnsi="Cambria Math"/>
                <w:i/>
                <w:szCs w:val="24"/>
              </w:rPr>
            </m:ctrlPr>
          </m:radPr>
          <m:deg>
            <m:ctrlPr>
              <w:rPr>
                <w:rStyle w:val="23"/>
                <w:rFonts w:ascii="Cambria Math" w:hAnsi="Cambria Math"/>
                <w:i/>
                <w:szCs w:val="24"/>
              </w:rPr>
            </m:ctrlPr>
          </m:deg>
          <m:e>
            <m:sSubSup>
              <m:sSubSupPr>
                <m:ctrlPr>
                  <w:rPr>
                    <w:rStyle w:val="23"/>
                    <w:rFonts w:ascii="Cambria Math" w:hAnsi="Cambria Math"/>
                    <w:i/>
                    <w:szCs w:val="24"/>
                  </w:rPr>
                </m:ctrlPr>
              </m:sSubSupPr>
              <m:e>
                <m:r>
                  <m:rPr/>
                  <w:rPr>
                    <w:rStyle w:val="23"/>
                    <w:rFonts w:ascii="Cambria Math" w:hAnsi="Cambria Math"/>
                    <w:szCs w:val="24"/>
                  </w:rPr>
                  <m:t>u</m:t>
                </m:r>
                <m:ctrlPr>
                  <w:rPr>
                    <w:rStyle w:val="23"/>
                    <w:rFonts w:ascii="Cambria Math" w:hAnsi="Cambria Math"/>
                    <w:i/>
                    <w:szCs w:val="24"/>
                  </w:rPr>
                </m:ctrlPr>
              </m:e>
              <m:sub>
                <m:r>
                  <m:rPr/>
                  <w:rPr>
                    <w:rStyle w:val="23"/>
                    <w:rFonts w:ascii="Cambria Math" w:hAnsi="Cambria Math"/>
                    <w:szCs w:val="24"/>
                  </w:rPr>
                  <m:t>1</m:t>
                </m:r>
                <m:ctrlPr>
                  <w:rPr>
                    <w:rStyle w:val="23"/>
                    <w:rFonts w:ascii="Cambria Math" w:hAnsi="Cambria Math"/>
                    <w:i/>
                    <w:szCs w:val="24"/>
                  </w:rPr>
                </m:ctrlPr>
              </m:sub>
              <m:sup>
                <m:r>
                  <m:rPr/>
                  <w:rPr>
                    <w:rStyle w:val="23"/>
                    <w:rFonts w:ascii="Cambria Math" w:hAnsi="Cambria Math"/>
                    <w:szCs w:val="24"/>
                  </w:rPr>
                  <m:t>2</m:t>
                </m:r>
                <m:ctrlPr>
                  <w:rPr>
                    <w:rStyle w:val="23"/>
                    <w:rFonts w:ascii="Cambria Math" w:hAnsi="Cambria Math"/>
                    <w:i/>
                    <w:szCs w:val="24"/>
                  </w:rPr>
                </m:ctrlPr>
              </m:sup>
            </m:sSubSup>
            <m:r>
              <m:rPr/>
              <w:rPr>
                <w:rStyle w:val="23"/>
                <w:rFonts w:ascii="Cambria Math" w:hAnsi="Cambria Math"/>
                <w:szCs w:val="24"/>
              </w:rPr>
              <m:t>+</m:t>
            </m:r>
            <m:sSubSup>
              <m:sSubSupPr>
                <m:ctrlPr>
                  <w:rPr>
                    <w:rStyle w:val="23"/>
                    <w:rFonts w:ascii="Cambria Math" w:hAnsi="Cambria Math"/>
                    <w:i/>
                    <w:szCs w:val="24"/>
                  </w:rPr>
                </m:ctrlPr>
              </m:sSubSupPr>
              <m:e>
                <m:r>
                  <m:rPr/>
                  <w:rPr>
                    <w:rStyle w:val="23"/>
                    <w:rFonts w:ascii="Cambria Math" w:hAnsi="Cambria Math"/>
                    <w:szCs w:val="24"/>
                  </w:rPr>
                  <m:t>u</m:t>
                </m:r>
                <m:ctrlPr>
                  <w:rPr>
                    <w:rStyle w:val="23"/>
                    <w:rFonts w:ascii="Cambria Math" w:hAnsi="Cambria Math"/>
                    <w:i/>
                    <w:szCs w:val="24"/>
                  </w:rPr>
                </m:ctrlPr>
              </m:e>
              <m:sub>
                <m:r>
                  <m:rPr/>
                  <w:rPr>
                    <w:rStyle w:val="23"/>
                    <w:rFonts w:ascii="Cambria Math" w:hAnsi="Cambria Math"/>
                    <w:szCs w:val="24"/>
                  </w:rPr>
                  <m:t>2</m:t>
                </m:r>
                <m:ctrlPr>
                  <w:rPr>
                    <w:rStyle w:val="23"/>
                    <w:rFonts w:ascii="Cambria Math" w:hAnsi="Cambria Math"/>
                    <w:i/>
                    <w:szCs w:val="24"/>
                  </w:rPr>
                </m:ctrlPr>
              </m:sub>
              <m:sup>
                <m:r>
                  <m:rPr/>
                  <w:rPr>
                    <w:rStyle w:val="23"/>
                    <w:rFonts w:ascii="Cambria Math" w:hAnsi="Cambria Math"/>
                    <w:szCs w:val="24"/>
                  </w:rPr>
                  <m:t>2</m:t>
                </m:r>
                <m:ctrlPr>
                  <w:rPr>
                    <w:rStyle w:val="23"/>
                    <w:rFonts w:ascii="Cambria Math" w:hAnsi="Cambria Math"/>
                    <w:i/>
                    <w:szCs w:val="24"/>
                  </w:rPr>
                </m:ctrlPr>
              </m:sup>
            </m:sSubSup>
            <m:ctrlPr>
              <w:rPr>
                <w:rStyle w:val="23"/>
                <w:rFonts w:ascii="Cambria Math" w:hAnsi="Cambria Math"/>
                <w:i/>
                <w:szCs w:val="24"/>
              </w:rPr>
            </m:ctrlPr>
          </m:e>
        </m:rad>
        <m:r>
          <m:rPr/>
          <w:rPr>
            <w:rStyle w:val="73"/>
            <w:rFonts w:ascii="Cambria Math" w:hAnsi="Cambria Math"/>
            <w:color w:val="404040"/>
            <w:sz w:val="24"/>
            <w:szCs w:val="24"/>
            <w:shd w:val="clear" w:color="auto" w:fill="FFFFFF"/>
          </w:rPr>
          <m:t>≈ 0.16</m:t>
        </m:r>
        <m:r>
          <m:rPr/>
          <w:rPr>
            <w:rFonts w:ascii="Cambria Math" w:hAnsi="Cambria Math"/>
            <w:sz w:val="24"/>
            <w:szCs w:val="24"/>
          </w:rPr>
          <m:t>N</m:t>
        </m:r>
      </m:oMath>
      <w:r>
        <w:rPr>
          <w:sz w:val="24"/>
          <w:szCs w:val="24"/>
        </w:rPr>
        <w:tab/>
      </w:r>
      <w:r>
        <w:rPr>
          <w:sz w:val="24"/>
          <w:szCs w:val="24"/>
        </w:rPr>
        <w:t>（6）</w:t>
      </w:r>
    </w:p>
    <w:p w14:paraId="68F1BE43">
      <w:pPr>
        <w:spacing w:before="156" w:beforeLines="50" w:line="360" w:lineRule="auto"/>
        <w:rPr>
          <w:rFonts w:eastAsia="仿宋"/>
          <w:sz w:val="24"/>
          <w:szCs w:val="24"/>
        </w:rPr>
      </w:pPr>
      <w:r>
        <w:rPr>
          <w:rFonts w:eastAsia="仿宋"/>
          <w:sz w:val="24"/>
          <w:szCs w:val="24"/>
        </w:rPr>
        <w:t>B.7.4确定扩展不确定度</w:t>
      </w:r>
    </w:p>
    <w:p w14:paraId="1D1CF8DE">
      <w:pPr>
        <w:spacing w:line="360" w:lineRule="auto"/>
        <w:ind w:firstLine="480" w:firstLineChars="200"/>
        <w:rPr>
          <w:rStyle w:val="23"/>
          <w:rFonts w:ascii="Times New Roman" w:hAnsi="Times New Roman"/>
          <w:szCs w:val="20"/>
        </w:rPr>
      </w:pPr>
      <w:r>
        <w:rPr>
          <w:rStyle w:val="23"/>
          <w:rFonts w:ascii="Times New Roman" w:hAnsi="Times New Roman"/>
          <w:szCs w:val="20"/>
        </w:rPr>
        <w:t>取包含因子</w:t>
      </w:r>
      <w:r>
        <w:rPr>
          <w:rStyle w:val="23"/>
          <w:rFonts w:ascii="Cambria Math" w:hAnsi="Cambria Math" w:cs="Cambria Math"/>
          <w:szCs w:val="20"/>
        </w:rPr>
        <w:t>𝑘</w:t>
      </w:r>
      <w:r>
        <w:rPr>
          <w:rStyle w:val="23"/>
          <w:rFonts w:ascii="Times New Roman" w:hAnsi="Times New Roman"/>
          <w:szCs w:val="20"/>
        </w:rPr>
        <w:t>=2（置信水平约95%），则扩展不确定度为：</w:t>
      </w:r>
    </w:p>
    <w:p w14:paraId="7B841F08">
      <w:pPr>
        <w:tabs>
          <w:tab w:val="center" w:pos="4150"/>
          <w:tab w:val="right" w:pos="10103"/>
        </w:tabs>
        <w:spacing w:line="360" w:lineRule="auto"/>
        <w:ind w:firstLine="480" w:firstLineChars="200"/>
        <w:rPr>
          <w:rStyle w:val="23"/>
          <w:rFonts w:ascii="Times New Roman" w:hAnsi="Times New Roman"/>
          <w:szCs w:val="24"/>
        </w:rPr>
      </w:pPr>
      <w:r>
        <w:rPr>
          <w:rStyle w:val="70"/>
          <w:iCs/>
          <w:color w:val="404040"/>
          <w:sz w:val="24"/>
          <w:szCs w:val="24"/>
          <w:shd w:val="clear" w:color="auto" w:fill="FFFFFF"/>
        </w:rPr>
        <w:tab/>
      </w:r>
      <m:oMath>
        <m:r>
          <m:rPr/>
          <w:rPr>
            <w:rStyle w:val="70"/>
            <w:rFonts w:ascii="Cambria Math" w:hAnsi="Cambria Math"/>
            <w:color w:val="404040"/>
            <w:sz w:val="24"/>
            <w:szCs w:val="24"/>
            <w:shd w:val="clear" w:color="auto" w:fill="FFFFFF"/>
          </w:rPr>
          <m:t>U=</m:t>
        </m:r>
        <m:r>
          <m:rPr/>
          <w:rPr>
            <w:rFonts w:ascii="Cambria Math" w:hAnsi="Cambria Math"/>
            <w:sz w:val="24"/>
            <w:szCs w:val="24"/>
          </w:rPr>
          <m:t>k</m:t>
        </m:r>
        <m:r>
          <m:rPr>
            <m:sty m:val="p"/>
          </m:rPr>
          <w:rPr>
            <w:rFonts w:ascii="Cambria Math" w:hAnsi="Cambria Math"/>
            <w:sz w:val="24"/>
            <w:szCs w:val="24"/>
          </w:rPr>
          <m:t>·</m:t>
        </m:r>
        <m:sSub>
          <m:sSubPr>
            <m:ctrlPr>
              <w:rPr>
                <w:rFonts w:ascii="Cambria Math" w:hAnsi="Cambria Math"/>
                <w:i/>
                <w:iCs/>
                <w:sz w:val="24"/>
                <w:szCs w:val="24"/>
              </w:rPr>
            </m:ctrlPr>
          </m:sSubPr>
          <m:e>
            <m:r>
              <m:rPr/>
              <w:rPr>
                <w:rFonts w:ascii="Cambria Math" w:hAnsi="Cambria Math"/>
                <w:sz w:val="24"/>
                <w:szCs w:val="24"/>
              </w:rPr>
              <m:t>u</m:t>
            </m:r>
            <m:ctrlPr>
              <w:rPr>
                <w:rFonts w:ascii="Cambria Math" w:hAnsi="Cambria Math"/>
                <w:i/>
                <w:iCs/>
                <w:sz w:val="24"/>
                <w:szCs w:val="24"/>
              </w:rPr>
            </m:ctrlPr>
          </m:e>
          <m:sub>
            <m:sSub>
              <m:sSubPr>
                <m:ctrlPr>
                  <w:rPr>
                    <w:rFonts w:ascii="Cambria Math" w:hAnsi="Cambria Math"/>
                    <w:i/>
                    <w:iCs/>
                    <w:sz w:val="24"/>
                    <w:szCs w:val="24"/>
                    <w:vertAlign w:val="subscript"/>
                  </w:rPr>
                </m:ctrlPr>
              </m:sSubPr>
              <m:e>
                <m:r>
                  <m:rPr/>
                  <w:rPr>
                    <w:rFonts w:ascii="Cambria Math" w:hAnsi="Cambria Math"/>
                    <w:sz w:val="24"/>
                    <w:szCs w:val="24"/>
                    <w:vertAlign w:val="subscript"/>
                  </w:rPr>
                  <m:t>F</m:t>
                </m:r>
                <m:ctrlPr>
                  <w:rPr>
                    <w:rFonts w:ascii="Cambria Math" w:hAnsi="Cambria Math"/>
                    <w:i/>
                    <w:iCs/>
                    <w:sz w:val="24"/>
                    <w:szCs w:val="24"/>
                    <w:vertAlign w:val="subscript"/>
                  </w:rPr>
                </m:ctrlPr>
              </m:e>
              <m:sub>
                <m:r>
                  <m:rPr/>
                  <w:rPr>
                    <w:rFonts w:ascii="Cambria Math" w:hAnsi="Cambria Math"/>
                    <w:sz w:val="24"/>
                    <w:szCs w:val="24"/>
                    <w:vertAlign w:val="subscript"/>
                  </w:rPr>
                  <m:t>t0</m:t>
                </m:r>
                <m:ctrlPr>
                  <w:rPr>
                    <w:rFonts w:ascii="Cambria Math" w:hAnsi="Cambria Math"/>
                    <w:i/>
                    <w:iCs/>
                    <w:sz w:val="24"/>
                    <w:szCs w:val="24"/>
                    <w:vertAlign w:val="subscript"/>
                  </w:rPr>
                </m:ctrlPr>
              </m:sub>
            </m:sSub>
            <m:ctrlPr>
              <w:rPr>
                <w:rFonts w:ascii="Cambria Math" w:hAnsi="Cambria Math"/>
                <w:i/>
                <w:iCs/>
                <w:sz w:val="24"/>
                <w:szCs w:val="24"/>
              </w:rPr>
            </m:ctrlPr>
          </m:sub>
        </m:sSub>
        <m:r>
          <m:rPr/>
          <w:rPr>
            <w:rStyle w:val="70"/>
            <w:rFonts w:ascii="Cambria Math" w:hAnsi="Cambria Math"/>
            <w:color w:val="404040"/>
            <w:sz w:val="24"/>
            <w:szCs w:val="24"/>
            <w:shd w:val="clear" w:color="auto" w:fill="FFFFFF"/>
          </w:rPr>
          <m:t>=2</m:t>
        </m:r>
        <m:r>
          <m:rPr/>
          <w:rPr>
            <w:rStyle w:val="73"/>
            <w:rFonts w:ascii="Cambria Math" w:hAnsi="Cambria Math"/>
            <w:color w:val="404040"/>
            <w:sz w:val="24"/>
            <w:szCs w:val="24"/>
            <w:shd w:val="clear" w:color="auto" w:fill="FFFFFF"/>
          </w:rPr>
          <m:t>×0.16=0.32N</m:t>
        </m:r>
      </m:oMath>
      <w:r>
        <w:rPr>
          <w:sz w:val="24"/>
          <w:szCs w:val="24"/>
          <w:vertAlign w:val="subscript"/>
        </w:rPr>
        <w:tab/>
      </w:r>
      <w:r>
        <w:rPr>
          <w:sz w:val="24"/>
          <w:szCs w:val="24"/>
        </w:rPr>
        <w:t>（7）</w:t>
      </w:r>
    </w:p>
    <w:p w14:paraId="16A77390">
      <w:pPr>
        <w:spacing w:before="156" w:beforeLines="50" w:line="360" w:lineRule="auto"/>
        <w:rPr>
          <w:rFonts w:eastAsia="仿宋"/>
          <w:sz w:val="24"/>
          <w:szCs w:val="24"/>
        </w:rPr>
      </w:pPr>
      <w:r>
        <w:rPr>
          <w:rFonts w:eastAsia="仿宋"/>
          <w:sz w:val="24"/>
          <w:szCs w:val="24"/>
        </w:rPr>
        <w:t>B.7.5报告测量结果</w:t>
      </w:r>
    </w:p>
    <w:p w14:paraId="31092651">
      <w:pPr>
        <w:spacing w:line="360" w:lineRule="auto"/>
        <w:ind w:firstLine="480" w:firstLineChars="200"/>
        <w:rPr>
          <w:rStyle w:val="23"/>
          <w:rFonts w:ascii="Times New Roman" w:hAnsi="Times New Roman"/>
          <w:szCs w:val="20"/>
        </w:rPr>
      </w:pPr>
      <w:r>
        <w:rPr>
          <w:rStyle w:val="23"/>
          <w:rFonts w:ascii="Times New Roman" w:hAnsi="Times New Roman"/>
          <w:szCs w:val="20"/>
        </w:rPr>
        <w:t>待测力传感器的测量值为：</w:t>
      </w:r>
    </w:p>
    <w:p w14:paraId="470FC472">
      <w:pPr>
        <w:tabs>
          <w:tab w:val="center" w:pos="4150"/>
          <w:tab w:val="right" w:pos="10103"/>
        </w:tabs>
        <w:spacing w:line="360" w:lineRule="auto"/>
        <w:jc w:val="center"/>
        <w:rPr>
          <w:i/>
          <w:iCs/>
          <w:sz w:val="24"/>
          <w:szCs w:val="24"/>
        </w:rPr>
      </w:pPr>
      <w:r>
        <w:rPr>
          <w:i/>
          <w:iCs/>
          <w:sz w:val="24"/>
          <w:szCs w:val="24"/>
        </w:rPr>
        <w:tab/>
      </w:r>
      <m:oMath>
        <m:sSub>
          <m:sSubPr>
            <m:ctrlPr>
              <w:rPr>
                <w:rFonts w:ascii="Cambria Math" w:hAnsi="Cambria Math"/>
                <w:i/>
                <w:color w:val="000000"/>
                <w:kern w:val="0"/>
              </w:rPr>
            </m:ctrlPr>
          </m:sSubPr>
          <m:e>
            <m:r>
              <m:rPr/>
              <w:rPr>
                <w:rFonts w:ascii="Cambria Math" w:hAnsi="Cambria Math"/>
                <w:color w:val="000000"/>
                <w:kern w:val="0"/>
              </w:rPr>
              <m:t>F</m:t>
            </m:r>
            <m:ctrlPr>
              <w:rPr>
                <w:rFonts w:ascii="Cambria Math" w:hAnsi="Cambria Math"/>
                <w:i/>
                <w:color w:val="000000"/>
                <w:kern w:val="0"/>
              </w:rPr>
            </m:ctrlPr>
          </m:e>
          <m:sub>
            <m:r>
              <m:rPr>
                <m:sty m:val="p"/>
              </m:rPr>
              <w:rPr>
                <w:rFonts w:ascii="Cambria Math" w:hAnsi="Cambria Math"/>
                <w:color w:val="000000"/>
                <w:kern w:val="0"/>
              </w:rPr>
              <m:t>t</m:t>
            </m:r>
            <m:ctrlPr>
              <w:rPr>
                <w:rFonts w:ascii="Cambria Math" w:hAnsi="Cambria Math"/>
                <w:i/>
                <w:color w:val="000000"/>
                <w:kern w:val="0"/>
              </w:rPr>
            </m:ctrlPr>
          </m:sub>
        </m:sSub>
      </m:oMath>
      <w:r>
        <w:rPr>
          <w:i/>
          <w:iCs/>
          <w:sz w:val="24"/>
          <w:szCs w:val="24"/>
        </w:rPr>
        <w:t xml:space="preserve"> = </w:t>
      </w:r>
      <m:oMath>
        <m:acc>
          <m:accPr>
            <m:chr m:val="̅"/>
            <m:ctrlPr>
              <w:rPr>
                <w:rStyle w:val="23"/>
                <w:rFonts w:ascii="Cambria Math" w:hAnsi="Cambria Math"/>
                <w:i/>
                <w:iCs/>
                <w:szCs w:val="24"/>
              </w:rPr>
            </m:ctrlPr>
          </m:accPr>
          <m:e>
            <m:sSub>
              <m:sSubPr>
                <m:ctrlPr>
                  <w:rPr>
                    <w:rFonts w:ascii="Cambria Math" w:hAnsi="Cambria Math"/>
                    <w:i/>
                    <w:color w:val="000000"/>
                    <w:kern w:val="0"/>
                  </w:rPr>
                </m:ctrlPr>
              </m:sSubPr>
              <m:e>
                <m:r>
                  <m:rPr/>
                  <w:rPr>
                    <w:rFonts w:ascii="Cambria Math" w:hAnsi="Cambria Math"/>
                    <w:color w:val="000000"/>
                    <w:kern w:val="0"/>
                  </w:rPr>
                  <m:t>F</m:t>
                </m:r>
                <m:ctrlPr>
                  <w:rPr>
                    <w:rFonts w:ascii="Cambria Math" w:hAnsi="Cambria Math"/>
                    <w:i/>
                    <w:color w:val="000000"/>
                    <w:kern w:val="0"/>
                  </w:rPr>
                </m:ctrlPr>
              </m:e>
              <m:sub>
                <m:r>
                  <m:rPr>
                    <m:sty m:val="p"/>
                  </m:rPr>
                  <w:rPr>
                    <w:rFonts w:ascii="Cambria Math" w:hAnsi="Cambria Math"/>
                    <w:color w:val="000000"/>
                    <w:kern w:val="0"/>
                  </w:rPr>
                  <m:t>t</m:t>
                </m:r>
                <m:ctrlPr>
                  <w:rPr>
                    <w:rFonts w:ascii="Cambria Math" w:hAnsi="Cambria Math"/>
                    <w:i/>
                    <w:color w:val="000000"/>
                    <w:kern w:val="0"/>
                  </w:rPr>
                </m:ctrlPr>
              </m:sub>
            </m:sSub>
            <m:ctrlPr>
              <w:rPr>
                <w:rStyle w:val="23"/>
                <w:rFonts w:ascii="Cambria Math" w:hAnsi="Cambria Math"/>
                <w:i/>
                <w:iCs/>
                <w:szCs w:val="24"/>
              </w:rPr>
            </m:ctrlPr>
          </m:e>
        </m:acc>
      </m:oMath>
      <w:r>
        <w:rPr>
          <w:rStyle w:val="23"/>
          <w:rFonts w:ascii="Times New Roman" w:hAnsi="Times New Roman"/>
          <w:i/>
          <w:iCs/>
          <w:szCs w:val="24"/>
        </w:rPr>
        <w:t>=</w:t>
      </w:r>
      <m:oMath>
        <m:r>
          <m:rPr/>
          <w:rPr>
            <w:rStyle w:val="73"/>
            <w:rFonts w:ascii="Cambria Math" w:hAnsi="Cambria Math"/>
            <w:color w:val="404040"/>
            <w:sz w:val="24"/>
            <w:szCs w:val="24"/>
            <w:shd w:val="clear" w:color="auto" w:fill="FFFFFF"/>
          </w:rPr>
          <m:t>50.74N</m:t>
        </m:r>
      </m:oMath>
      <w:r>
        <w:rPr>
          <w:rStyle w:val="73"/>
          <w:i/>
          <w:color w:val="404040"/>
          <w:sz w:val="24"/>
          <w:szCs w:val="24"/>
          <w:shd w:val="clear" w:color="auto" w:fill="FFFFFF"/>
        </w:rPr>
        <w:tab/>
      </w:r>
      <w:r>
        <w:rPr>
          <w:rStyle w:val="23"/>
          <w:rFonts w:ascii="Times New Roman" w:hAnsi="Times New Roman"/>
          <w:szCs w:val="24"/>
        </w:rPr>
        <w:t>（</w:t>
      </w:r>
      <w:r>
        <w:rPr>
          <w:sz w:val="24"/>
          <w:szCs w:val="24"/>
        </w:rPr>
        <w:t>8）</w:t>
      </w:r>
    </w:p>
    <w:p w14:paraId="42F02D25">
      <w:pPr>
        <w:spacing w:line="360" w:lineRule="auto"/>
        <w:ind w:firstLine="480" w:firstLineChars="200"/>
        <w:rPr>
          <w:rStyle w:val="23"/>
          <w:rFonts w:ascii="Times New Roman" w:hAnsi="Times New Roman"/>
          <w:szCs w:val="20"/>
        </w:rPr>
      </w:pPr>
      <w:r>
        <w:rPr>
          <w:rStyle w:val="23"/>
          <w:rFonts w:ascii="Times New Roman" w:hAnsi="Times New Roman"/>
          <w:szCs w:val="20"/>
        </w:rPr>
        <w:t>最终报告为：</w:t>
      </w:r>
    </w:p>
    <w:p w14:paraId="1300B538">
      <w:pPr>
        <w:tabs>
          <w:tab w:val="center" w:pos="4150"/>
          <w:tab w:val="right" w:pos="10103"/>
        </w:tabs>
        <w:spacing w:line="360" w:lineRule="auto"/>
        <w:jc w:val="center"/>
        <w:rPr>
          <w:sz w:val="24"/>
          <w:szCs w:val="24"/>
        </w:rPr>
      </w:pPr>
      <w:r>
        <w:rPr>
          <w:i/>
          <w:iCs/>
          <w:sz w:val="24"/>
          <w:szCs w:val="24"/>
        </w:rPr>
        <w:tab/>
      </w:r>
      <m:oMath>
        <m:sSub>
          <m:sSubPr>
            <m:ctrlPr>
              <w:rPr>
                <w:rFonts w:ascii="Cambria Math" w:hAnsi="Cambria Math"/>
                <w:i/>
                <w:color w:val="000000"/>
                <w:kern w:val="0"/>
                <w:sz w:val="24"/>
                <w:szCs w:val="24"/>
              </w:rPr>
            </m:ctrlPr>
          </m:sSubPr>
          <m:e>
            <m:r>
              <m:rPr/>
              <w:rPr>
                <w:rFonts w:ascii="Cambria Math" w:hAnsi="Cambria Math"/>
                <w:color w:val="000000"/>
                <w:kern w:val="0"/>
                <w:sz w:val="24"/>
                <w:szCs w:val="24"/>
              </w:rPr>
              <m:t>F</m:t>
            </m:r>
            <m:ctrlPr>
              <w:rPr>
                <w:rFonts w:ascii="Cambria Math" w:hAnsi="Cambria Math"/>
                <w:i/>
                <w:color w:val="000000"/>
                <w:kern w:val="0"/>
                <w:sz w:val="24"/>
                <w:szCs w:val="24"/>
              </w:rPr>
            </m:ctrlPr>
          </m:e>
          <m:sub>
            <m:r>
              <m:rPr>
                <m:sty m:val="p"/>
              </m:rPr>
              <w:rPr>
                <w:rFonts w:ascii="Cambria Math" w:hAnsi="Cambria Math"/>
                <w:color w:val="000000"/>
                <w:kern w:val="0"/>
                <w:sz w:val="24"/>
                <w:szCs w:val="24"/>
              </w:rPr>
              <m:t>t</m:t>
            </m:r>
            <m:ctrlPr>
              <w:rPr>
                <w:rFonts w:ascii="Cambria Math" w:hAnsi="Cambria Math"/>
                <w:i/>
                <w:color w:val="000000"/>
                <w:kern w:val="0"/>
                <w:sz w:val="24"/>
                <w:szCs w:val="24"/>
              </w:rPr>
            </m:ctrlPr>
          </m:sub>
        </m:sSub>
      </m:oMath>
      <w:r>
        <w:rPr>
          <w:i/>
          <w:iCs/>
          <w:sz w:val="24"/>
          <w:szCs w:val="24"/>
        </w:rPr>
        <w:t xml:space="preserve"> =</w:t>
      </w:r>
      <w:r>
        <w:rPr>
          <w:iCs/>
          <w:sz w:val="24"/>
          <w:szCs w:val="24"/>
          <w:vertAlign w:val="subscript"/>
        </w:rPr>
        <w:t xml:space="preserve"> </w:t>
      </w:r>
      <m:oMath>
        <m:r>
          <m:rPr/>
          <w:rPr>
            <w:rStyle w:val="73"/>
            <w:rFonts w:ascii="Cambria Math" w:hAnsi="Cambria Math"/>
            <w:color w:val="404040"/>
            <w:sz w:val="24"/>
            <w:szCs w:val="24"/>
            <w:shd w:val="clear" w:color="auto" w:fill="FFFFFF"/>
          </w:rPr>
          <m:t xml:space="preserve">( </m:t>
        </m:r>
        <m:r>
          <m:rPr>
            <m:sty m:val="p"/>
          </m:rPr>
          <w:rPr>
            <w:rFonts w:ascii="Cambria Math" w:hAnsi="Cambria Math"/>
            <w:sz w:val="24"/>
            <w:szCs w:val="24"/>
          </w:rPr>
          <m:t>50.74±0.32)</m:t>
        </m:r>
        <m:r>
          <m:rPr/>
          <w:rPr>
            <w:rFonts w:ascii="Cambria Math" w:hAnsi="Cambria Math"/>
            <w:sz w:val="24"/>
            <w:szCs w:val="24"/>
            <w:vertAlign w:val="subscript"/>
          </w:rPr>
          <m:t>N</m:t>
        </m:r>
      </m:oMath>
      <w:r>
        <w:rPr>
          <w:rStyle w:val="23"/>
          <w:rFonts w:ascii="Times New Roman" w:hAnsi="Times New Roman"/>
          <w:szCs w:val="20"/>
        </w:rPr>
        <w:t xml:space="preserve">， </w:t>
      </w:r>
      <w:r>
        <w:rPr>
          <w:rStyle w:val="23"/>
          <w:rFonts w:ascii="Cambria Math" w:hAnsi="Cambria Math" w:cs="Cambria Math"/>
          <w:szCs w:val="20"/>
        </w:rPr>
        <w:t>𝑘</w:t>
      </w:r>
      <w:r>
        <w:rPr>
          <w:rStyle w:val="23"/>
          <w:rFonts w:ascii="Times New Roman" w:hAnsi="Times New Roman"/>
          <w:szCs w:val="20"/>
        </w:rPr>
        <w:t>=2（置信水平约95%）</w:t>
      </w:r>
      <w:r>
        <w:rPr>
          <w:rStyle w:val="23"/>
          <w:rFonts w:ascii="Times New Roman" w:hAnsi="Times New Roman"/>
          <w:szCs w:val="20"/>
        </w:rPr>
        <w:tab/>
      </w:r>
      <w:r>
        <w:rPr>
          <w:rStyle w:val="23"/>
          <w:rFonts w:ascii="Times New Roman" w:hAnsi="Times New Roman"/>
          <w:szCs w:val="24"/>
        </w:rPr>
        <w:t>（</w:t>
      </w:r>
      <w:r>
        <w:rPr>
          <w:sz w:val="24"/>
          <w:szCs w:val="24"/>
        </w:rPr>
        <w:t>9）</w:t>
      </w:r>
    </w:p>
    <w:p w14:paraId="1D34D17B">
      <w:pPr>
        <w:widowControl/>
        <w:jc w:val="left"/>
        <w:rPr>
          <w:sz w:val="24"/>
          <w:szCs w:val="24"/>
        </w:rPr>
      </w:pPr>
      <w:r>
        <w:rPr>
          <w:sz w:val="24"/>
          <w:szCs w:val="24"/>
        </w:rPr>
        <w:br w:type="page"/>
      </w:r>
    </w:p>
    <w:p w14:paraId="403C9648">
      <w:pPr>
        <w:pStyle w:val="2"/>
        <w:spacing w:before="312" w:beforeLines="100"/>
        <w:ind w:firstLine="0" w:firstLineChars="0"/>
        <w:rPr>
          <w:sz w:val="24"/>
          <w:szCs w:val="24"/>
        </w:rPr>
      </w:pPr>
      <w:bookmarkStart w:id="64" w:name="_Toc197985359"/>
      <w:bookmarkStart w:id="65" w:name="_Toc197985360"/>
      <w:r>
        <w:rPr>
          <w:b/>
          <w:bCs/>
          <w:sz w:val="24"/>
          <w:szCs w:val="24"/>
        </w:rPr>
        <w:t>附录C</w:t>
      </w:r>
      <w:bookmarkEnd w:id="64"/>
    </w:p>
    <w:p w14:paraId="6F5E2CB5">
      <w:pPr>
        <w:jc w:val="center"/>
        <w:rPr>
          <w:sz w:val="28"/>
          <w:szCs w:val="28"/>
        </w:rPr>
      </w:pPr>
      <w:bookmarkStart w:id="66" w:name="_Toc531802986"/>
      <w:bookmarkStart w:id="67" w:name="_Toc18532601"/>
      <w:r>
        <w:rPr>
          <w:sz w:val="28"/>
          <w:szCs w:val="28"/>
        </w:rPr>
        <w:t>摩擦磨损试验机系统切向刚度</w:t>
      </w:r>
      <w:r>
        <w:rPr>
          <w:rFonts w:hint="eastAsia"/>
          <w:sz w:val="28"/>
          <w:szCs w:val="28"/>
        </w:rPr>
        <w:t>测试</w:t>
      </w:r>
      <w:r>
        <w:rPr>
          <w:sz w:val="28"/>
          <w:szCs w:val="28"/>
        </w:rPr>
        <w:t>记录</w:t>
      </w:r>
      <w:bookmarkEnd w:id="66"/>
      <w:bookmarkEnd w:id="67"/>
    </w:p>
    <w:p w14:paraId="0AE612D2">
      <w:pPr>
        <w:jc w:val="left"/>
        <w:rPr>
          <w:sz w:val="18"/>
          <w:szCs w:val="18"/>
          <w:u w:val="single"/>
        </w:rPr>
      </w:pPr>
      <w:r>
        <w:rPr>
          <w:sz w:val="18"/>
          <w:szCs w:val="18"/>
        </w:rPr>
        <w:t xml:space="preserve">送检单位 </w:t>
      </w:r>
      <w:r>
        <w:rPr>
          <w:sz w:val="18"/>
          <w:szCs w:val="18"/>
          <w:u w:val="single"/>
        </w:rPr>
        <w:t xml:space="preserve">                                    </w:t>
      </w:r>
      <w:r>
        <w:rPr>
          <w:sz w:val="18"/>
          <w:szCs w:val="18"/>
        </w:rPr>
        <w:t xml:space="preserve"> 地址 </w:t>
      </w:r>
      <w:r>
        <w:rPr>
          <w:sz w:val="18"/>
          <w:szCs w:val="18"/>
          <w:u w:val="single"/>
        </w:rPr>
        <w:t xml:space="preserve">                     </w:t>
      </w:r>
      <w:r>
        <w:rPr>
          <w:sz w:val="18"/>
          <w:szCs w:val="18"/>
        </w:rPr>
        <w:t xml:space="preserve">  证书号</w:t>
      </w:r>
      <w:r>
        <w:rPr>
          <w:sz w:val="18"/>
          <w:szCs w:val="18"/>
          <w:u w:val="single"/>
        </w:rPr>
        <w:t xml:space="preserve">            </w:t>
      </w:r>
    </w:p>
    <w:p w14:paraId="376CA787">
      <w:pPr>
        <w:jc w:val="left"/>
        <w:rPr>
          <w:sz w:val="18"/>
          <w:szCs w:val="18"/>
          <w:u w:val="single"/>
        </w:rPr>
      </w:pPr>
      <w:r>
        <w:rPr>
          <w:sz w:val="18"/>
          <w:szCs w:val="18"/>
        </w:rPr>
        <w:t>制造商</w:t>
      </w:r>
      <w:r>
        <w:rPr>
          <w:sz w:val="18"/>
          <w:szCs w:val="18"/>
          <w:u w:val="single"/>
        </w:rPr>
        <w:t xml:space="preserve">                     </w:t>
      </w:r>
      <w:r>
        <w:rPr>
          <w:sz w:val="18"/>
          <w:szCs w:val="18"/>
        </w:rPr>
        <w:t>型号规格</w:t>
      </w:r>
      <w:r>
        <w:rPr>
          <w:sz w:val="18"/>
          <w:szCs w:val="18"/>
          <w:u w:val="single"/>
        </w:rPr>
        <w:t xml:space="preserve">                        </w:t>
      </w:r>
      <w:r>
        <w:rPr>
          <w:sz w:val="18"/>
          <w:szCs w:val="18"/>
        </w:rPr>
        <w:t xml:space="preserve"> 出厂编号</w:t>
      </w:r>
      <w:r>
        <w:rPr>
          <w:sz w:val="18"/>
          <w:szCs w:val="18"/>
          <w:u w:val="single"/>
        </w:rPr>
        <w:t xml:space="preserve">                       </w:t>
      </w:r>
    </w:p>
    <w:p w14:paraId="5E63CA72">
      <w:pPr>
        <w:jc w:val="left"/>
        <w:rPr>
          <w:sz w:val="18"/>
          <w:szCs w:val="18"/>
          <w:u w:val="single"/>
        </w:rPr>
      </w:pPr>
      <w:r>
        <w:rPr>
          <w:sz w:val="18"/>
          <w:szCs w:val="18"/>
        </w:rPr>
        <w:t>标准器</w:t>
      </w:r>
      <w:r>
        <w:rPr>
          <w:sz w:val="18"/>
          <w:szCs w:val="18"/>
          <w:u w:val="single"/>
        </w:rPr>
        <w:t xml:space="preserve">                    </w:t>
      </w:r>
      <w:r>
        <w:rPr>
          <w:sz w:val="18"/>
          <w:szCs w:val="18"/>
        </w:rPr>
        <w:t xml:space="preserve"> 证书号 </w:t>
      </w:r>
      <w:r>
        <w:rPr>
          <w:sz w:val="18"/>
          <w:szCs w:val="18"/>
          <w:u w:val="single"/>
        </w:rPr>
        <w:t xml:space="preserve">                     </w:t>
      </w:r>
      <w:r>
        <w:rPr>
          <w:sz w:val="18"/>
          <w:szCs w:val="18"/>
        </w:rPr>
        <w:t xml:space="preserve"> 有效期至 </w:t>
      </w:r>
      <w:r>
        <w:rPr>
          <w:sz w:val="18"/>
          <w:szCs w:val="18"/>
          <w:u w:val="single"/>
        </w:rPr>
        <w:t xml:space="preserve">                          </w:t>
      </w:r>
    </w:p>
    <w:p w14:paraId="355A608A">
      <w:pPr>
        <w:jc w:val="left"/>
        <w:rPr>
          <w:sz w:val="18"/>
          <w:szCs w:val="18"/>
          <w:u w:val="single"/>
        </w:rPr>
      </w:pPr>
      <w:r>
        <w:rPr>
          <w:sz w:val="18"/>
          <w:szCs w:val="18"/>
        </w:rPr>
        <w:t xml:space="preserve">测量范围 </w:t>
      </w:r>
      <w:r>
        <w:rPr>
          <w:sz w:val="18"/>
          <w:szCs w:val="18"/>
          <w:u w:val="single"/>
        </w:rPr>
        <w:t xml:space="preserve">                       </w:t>
      </w:r>
      <w:r>
        <w:rPr>
          <w:sz w:val="18"/>
          <w:szCs w:val="18"/>
        </w:rPr>
        <w:t xml:space="preserve">不确定度/准确度等级 </w:t>
      </w:r>
      <w:r>
        <w:rPr>
          <w:sz w:val="18"/>
          <w:szCs w:val="18"/>
          <w:u w:val="single"/>
        </w:rPr>
        <w:t xml:space="preserve">                   </w:t>
      </w:r>
      <w:r>
        <w:rPr>
          <w:sz w:val="18"/>
          <w:szCs w:val="18"/>
        </w:rPr>
        <w:t xml:space="preserve"> 温度 </w:t>
      </w:r>
      <w:r>
        <w:rPr>
          <w:sz w:val="18"/>
          <w:szCs w:val="18"/>
          <w:u w:val="single"/>
        </w:rPr>
        <w:t xml:space="preserve">     </w:t>
      </w:r>
      <w:r>
        <w:rPr>
          <w:sz w:val="18"/>
          <w:szCs w:val="18"/>
        </w:rPr>
        <w:t xml:space="preserve"> 湿度 </w:t>
      </w:r>
      <w:r>
        <w:rPr>
          <w:sz w:val="18"/>
          <w:szCs w:val="18"/>
          <w:u w:val="single"/>
        </w:rPr>
        <w:t xml:space="preserve">    </w:t>
      </w:r>
    </w:p>
    <w:p w14:paraId="673661E7">
      <w:pPr>
        <w:jc w:val="left"/>
        <w:rPr>
          <w:sz w:val="18"/>
          <w:szCs w:val="18"/>
          <w:u w:val="single"/>
        </w:rPr>
      </w:pPr>
      <w:r>
        <w:rPr>
          <w:sz w:val="18"/>
          <w:szCs w:val="18"/>
        </w:rPr>
        <w:t xml:space="preserve">校准日期 </w:t>
      </w:r>
      <w:r>
        <w:rPr>
          <w:sz w:val="18"/>
          <w:szCs w:val="18"/>
          <w:u w:val="single"/>
        </w:rPr>
        <w:t xml:space="preserve">       </w:t>
      </w:r>
      <w:r>
        <w:rPr>
          <w:sz w:val="18"/>
          <w:szCs w:val="18"/>
        </w:rPr>
        <w:t>年</w:t>
      </w:r>
      <w:r>
        <w:rPr>
          <w:sz w:val="18"/>
          <w:szCs w:val="18"/>
          <w:u w:val="single"/>
        </w:rPr>
        <w:t xml:space="preserve">       </w:t>
      </w:r>
      <w:r>
        <w:rPr>
          <w:sz w:val="18"/>
          <w:szCs w:val="18"/>
        </w:rPr>
        <w:t>月</w:t>
      </w:r>
      <w:r>
        <w:rPr>
          <w:sz w:val="18"/>
          <w:szCs w:val="18"/>
          <w:u w:val="single"/>
        </w:rPr>
        <w:t xml:space="preserve">      </w:t>
      </w:r>
      <w:r>
        <w:rPr>
          <w:sz w:val="18"/>
          <w:szCs w:val="18"/>
        </w:rPr>
        <w:t xml:space="preserve">日            </w:t>
      </w:r>
    </w:p>
    <w:tbl>
      <w:tblPr>
        <w:tblStyle w:val="20"/>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567"/>
        <w:gridCol w:w="567"/>
        <w:gridCol w:w="141"/>
        <w:gridCol w:w="426"/>
        <w:gridCol w:w="425"/>
        <w:gridCol w:w="425"/>
        <w:gridCol w:w="284"/>
        <w:gridCol w:w="708"/>
        <w:gridCol w:w="426"/>
        <w:gridCol w:w="283"/>
        <w:gridCol w:w="992"/>
        <w:gridCol w:w="284"/>
        <w:gridCol w:w="283"/>
        <w:gridCol w:w="567"/>
        <w:gridCol w:w="567"/>
        <w:gridCol w:w="426"/>
        <w:gridCol w:w="850"/>
        <w:gridCol w:w="709"/>
        <w:gridCol w:w="709"/>
      </w:tblGrid>
      <w:tr w14:paraId="15CE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627" w:type="dxa"/>
            <w:gridSpan w:val="20"/>
            <w:vAlign w:val="center"/>
          </w:tcPr>
          <w:p w14:paraId="2C56B79B">
            <w:pPr>
              <w:jc w:val="center"/>
              <w:rPr>
                <w:sz w:val="18"/>
                <w:szCs w:val="18"/>
              </w:rPr>
            </w:pPr>
            <w:r>
              <w:rPr>
                <w:sz w:val="18"/>
                <w:szCs w:val="18"/>
              </w:rPr>
              <w:t>试验机校准记录表</w:t>
            </w:r>
          </w:p>
        </w:tc>
      </w:tr>
      <w:tr w14:paraId="397D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8" w:type="dxa"/>
            <w:vMerge w:val="restart"/>
            <w:vAlign w:val="center"/>
          </w:tcPr>
          <w:p w14:paraId="2E8D6B0A">
            <w:pPr>
              <w:jc w:val="center"/>
              <w:rPr>
                <w:sz w:val="18"/>
                <w:szCs w:val="18"/>
              </w:rPr>
            </w:pPr>
            <w:r>
              <w:rPr>
                <w:sz w:val="18"/>
                <w:szCs w:val="18"/>
              </w:rPr>
              <w:t>位移</w:t>
            </w:r>
          </w:p>
          <w:p w14:paraId="02503B19">
            <w:pPr>
              <w:jc w:val="center"/>
              <w:rPr>
                <w:sz w:val="18"/>
                <w:szCs w:val="18"/>
              </w:rPr>
            </w:pPr>
            <w:r>
              <w:rPr>
                <w:sz w:val="18"/>
                <w:szCs w:val="18"/>
              </w:rPr>
              <w:t>校准点</w:t>
            </w:r>
          </w:p>
          <w:p w14:paraId="5AF7E71A">
            <w:pPr>
              <w:jc w:val="center"/>
              <w:rPr>
                <w:sz w:val="18"/>
                <w:szCs w:val="18"/>
              </w:rPr>
            </w:pPr>
            <w:r>
              <w:rPr>
                <w:rFonts w:ascii="Cambria Math" w:hAnsi="Cambria Math" w:cs="Cambria Math"/>
                <w:iCs/>
                <w:sz w:val="18"/>
                <w:szCs w:val="18"/>
              </w:rPr>
              <w:t>△</w:t>
            </w:r>
            <w:r>
              <w:rPr>
                <w:i/>
                <w:sz w:val="18"/>
                <w:szCs w:val="18"/>
              </w:rPr>
              <w:t>d</w:t>
            </w:r>
            <w:r>
              <w:rPr>
                <w:sz w:val="18"/>
                <w:szCs w:val="18"/>
              </w:rPr>
              <w:t>/(μm)</w:t>
            </w:r>
          </w:p>
        </w:tc>
        <w:tc>
          <w:tcPr>
            <w:tcW w:w="2126" w:type="dxa"/>
            <w:gridSpan w:val="5"/>
            <w:vAlign w:val="center"/>
          </w:tcPr>
          <w:p w14:paraId="7369B30D">
            <w:pPr>
              <w:jc w:val="center"/>
              <w:rPr>
                <w:sz w:val="18"/>
                <w:szCs w:val="18"/>
              </w:rPr>
            </w:pPr>
            <w:r>
              <w:rPr>
                <w:rFonts w:hint="eastAsia"/>
                <w:sz w:val="18"/>
                <w:szCs w:val="18"/>
              </w:rPr>
              <w:t>校准装置</w:t>
            </w:r>
            <w:r>
              <w:rPr>
                <w:sz w:val="18"/>
                <w:szCs w:val="18"/>
              </w:rPr>
              <w:t>示值</w:t>
            </w:r>
          </w:p>
        </w:tc>
        <w:tc>
          <w:tcPr>
            <w:tcW w:w="709" w:type="dxa"/>
            <w:gridSpan w:val="2"/>
            <w:vMerge w:val="restart"/>
            <w:vAlign w:val="center"/>
          </w:tcPr>
          <w:p w14:paraId="3906EC10">
            <w:pPr>
              <w:ind w:left="-105" w:leftChars="-50" w:right="-105" w:rightChars="-50"/>
              <w:jc w:val="center"/>
              <w:rPr>
                <w:sz w:val="18"/>
                <w:szCs w:val="18"/>
              </w:rPr>
            </w:pPr>
            <w:r>
              <w:rPr>
                <w:sz w:val="18"/>
                <w:szCs w:val="18"/>
              </w:rPr>
              <w:t>重复性</w:t>
            </w:r>
          </w:p>
        </w:tc>
        <w:tc>
          <w:tcPr>
            <w:tcW w:w="708" w:type="dxa"/>
            <w:vMerge w:val="restart"/>
            <w:vAlign w:val="center"/>
          </w:tcPr>
          <w:p w14:paraId="599B02D8">
            <w:pPr>
              <w:jc w:val="center"/>
              <w:rPr>
                <w:sz w:val="18"/>
                <w:szCs w:val="18"/>
              </w:rPr>
            </w:pPr>
            <w:r>
              <w:rPr>
                <w:sz w:val="18"/>
                <w:szCs w:val="18"/>
              </w:rPr>
              <w:t>相对误差</w:t>
            </w:r>
          </w:p>
        </w:tc>
        <w:tc>
          <w:tcPr>
            <w:tcW w:w="709" w:type="dxa"/>
            <w:gridSpan w:val="2"/>
            <w:vMerge w:val="restart"/>
            <w:vAlign w:val="center"/>
          </w:tcPr>
          <w:p w14:paraId="2AC8FAED">
            <w:pPr>
              <w:ind w:left="-105" w:leftChars="-50" w:right="-105" w:rightChars="-50"/>
              <w:jc w:val="center"/>
              <w:rPr>
                <w:sz w:val="18"/>
                <w:szCs w:val="18"/>
              </w:rPr>
            </w:pPr>
            <w:r>
              <w:rPr>
                <w:sz w:val="18"/>
                <w:szCs w:val="18"/>
              </w:rPr>
              <w:t>不确</w:t>
            </w:r>
          </w:p>
          <w:p w14:paraId="7B4F237F">
            <w:pPr>
              <w:ind w:left="-105" w:leftChars="-50" w:right="-105" w:rightChars="-50"/>
              <w:jc w:val="center"/>
              <w:rPr>
                <w:sz w:val="18"/>
                <w:szCs w:val="18"/>
              </w:rPr>
            </w:pPr>
            <w:r>
              <w:rPr>
                <w:sz w:val="18"/>
                <w:szCs w:val="18"/>
              </w:rPr>
              <w:t>定度</w:t>
            </w:r>
          </w:p>
        </w:tc>
        <w:tc>
          <w:tcPr>
            <w:tcW w:w="992" w:type="dxa"/>
            <w:vMerge w:val="restart"/>
            <w:vAlign w:val="center"/>
          </w:tcPr>
          <w:p w14:paraId="2611B154">
            <w:pPr>
              <w:jc w:val="center"/>
              <w:rPr>
                <w:sz w:val="18"/>
                <w:szCs w:val="18"/>
              </w:rPr>
            </w:pPr>
            <w:r>
              <w:rPr>
                <w:sz w:val="18"/>
                <w:szCs w:val="18"/>
              </w:rPr>
              <w:t>推力校准点</w:t>
            </w:r>
            <m:oMath>
              <m:sSub>
                <m:sSubPr>
                  <m:ctrlPr>
                    <w:rPr>
                      <w:rFonts w:ascii="Cambria Math" w:hAnsi="Cambria Math"/>
                      <w:i/>
                      <w:sz w:val="18"/>
                      <w:szCs w:val="18"/>
                    </w:rPr>
                  </m:ctrlPr>
                </m:sSubPr>
                <m:e>
                  <m:r>
                    <m:rPr/>
                    <w:rPr>
                      <w:rFonts w:ascii="Cambria Math" w:hAnsi="Cambria Math"/>
                      <w:sz w:val="18"/>
                      <w:szCs w:val="18"/>
                    </w:rPr>
                    <m:t>F</m:t>
                  </m:r>
                  <m:ctrlPr>
                    <w:rPr>
                      <w:rFonts w:ascii="Cambria Math" w:hAnsi="Cambria Math"/>
                      <w:i/>
                      <w:sz w:val="18"/>
                      <w:szCs w:val="18"/>
                    </w:rPr>
                  </m:ctrlPr>
                </m:e>
                <m:sub>
                  <m:r>
                    <m:rPr/>
                    <w:rPr>
                      <w:rFonts w:ascii="Cambria Math" w:hAnsi="Cambria Math"/>
                      <w:sz w:val="18"/>
                      <w:szCs w:val="18"/>
                    </w:rPr>
                    <m:t>t</m:t>
                  </m:r>
                  <m:ctrlPr>
                    <w:rPr>
                      <w:rFonts w:ascii="Cambria Math" w:hAnsi="Cambria Math"/>
                      <w:i/>
                      <w:sz w:val="18"/>
                      <w:szCs w:val="18"/>
                    </w:rPr>
                  </m:ctrlPr>
                </m:sub>
              </m:sSub>
            </m:oMath>
            <w:r>
              <w:rPr>
                <w:sz w:val="18"/>
                <w:szCs w:val="18"/>
              </w:rPr>
              <w:t>/(N)</w:t>
            </w:r>
          </w:p>
        </w:tc>
        <w:tc>
          <w:tcPr>
            <w:tcW w:w="2127" w:type="dxa"/>
            <w:gridSpan w:val="5"/>
            <w:vAlign w:val="center"/>
          </w:tcPr>
          <w:p w14:paraId="0FCCB677">
            <w:pPr>
              <w:jc w:val="center"/>
              <w:rPr>
                <w:sz w:val="18"/>
                <w:szCs w:val="18"/>
              </w:rPr>
            </w:pPr>
            <w:r>
              <w:rPr>
                <w:rFonts w:hint="eastAsia"/>
                <w:sz w:val="18"/>
                <w:szCs w:val="18"/>
              </w:rPr>
              <w:t>校准装置</w:t>
            </w:r>
            <w:r>
              <w:rPr>
                <w:sz w:val="18"/>
                <w:szCs w:val="18"/>
              </w:rPr>
              <w:t>示值</w:t>
            </w:r>
          </w:p>
        </w:tc>
        <w:tc>
          <w:tcPr>
            <w:tcW w:w="850" w:type="dxa"/>
            <w:vMerge w:val="restart"/>
            <w:vAlign w:val="center"/>
          </w:tcPr>
          <w:p w14:paraId="3B80A9A1">
            <w:pPr>
              <w:jc w:val="center"/>
              <w:rPr>
                <w:sz w:val="18"/>
                <w:szCs w:val="18"/>
              </w:rPr>
            </w:pPr>
            <w:r>
              <w:rPr>
                <w:sz w:val="18"/>
                <w:szCs w:val="18"/>
              </w:rPr>
              <w:t>重复性</w:t>
            </w:r>
          </w:p>
        </w:tc>
        <w:tc>
          <w:tcPr>
            <w:tcW w:w="709" w:type="dxa"/>
            <w:vMerge w:val="restart"/>
            <w:vAlign w:val="center"/>
          </w:tcPr>
          <w:p w14:paraId="51F85A62">
            <w:pPr>
              <w:jc w:val="center"/>
              <w:rPr>
                <w:sz w:val="18"/>
                <w:szCs w:val="18"/>
              </w:rPr>
            </w:pPr>
            <w:r>
              <w:rPr>
                <w:sz w:val="18"/>
                <w:szCs w:val="18"/>
              </w:rPr>
              <w:t>相对</w:t>
            </w:r>
          </w:p>
          <w:p w14:paraId="3FB033B9">
            <w:pPr>
              <w:jc w:val="center"/>
              <w:rPr>
                <w:sz w:val="18"/>
                <w:szCs w:val="18"/>
              </w:rPr>
            </w:pPr>
            <w:r>
              <w:rPr>
                <w:sz w:val="18"/>
                <w:szCs w:val="18"/>
              </w:rPr>
              <w:t>误差</w:t>
            </w:r>
          </w:p>
        </w:tc>
        <w:tc>
          <w:tcPr>
            <w:tcW w:w="709" w:type="dxa"/>
            <w:vMerge w:val="restart"/>
            <w:vAlign w:val="center"/>
          </w:tcPr>
          <w:p w14:paraId="65BD1D0B">
            <w:pPr>
              <w:jc w:val="center"/>
              <w:rPr>
                <w:sz w:val="18"/>
                <w:szCs w:val="18"/>
              </w:rPr>
            </w:pPr>
            <w:r>
              <w:rPr>
                <w:sz w:val="18"/>
                <w:szCs w:val="18"/>
              </w:rPr>
              <w:t>不确</w:t>
            </w:r>
          </w:p>
          <w:p w14:paraId="23100ADC">
            <w:pPr>
              <w:jc w:val="center"/>
              <w:rPr>
                <w:sz w:val="18"/>
                <w:szCs w:val="18"/>
              </w:rPr>
            </w:pPr>
            <w:r>
              <w:rPr>
                <w:sz w:val="18"/>
                <w:szCs w:val="18"/>
              </w:rPr>
              <w:t>定度</w:t>
            </w:r>
          </w:p>
        </w:tc>
      </w:tr>
      <w:tr w14:paraId="365C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8" w:type="dxa"/>
            <w:vMerge w:val="continue"/>
            <w:vAlign w:val="center"/>
          </w:tcPr>
          <w:p w14:paraId="1B08A5F3">
            <w:pPr>
              <w:jc w:val="center"/>
              <w:rPr>
                <w:sz w:val="18"/>
                <w:szCs w:val="18"/>
              </w:rPr>
            </w:pPr>
          </w:p>
        </w:tc>
        <w:tc>
          <w:tcPr>
            <w:tcW w:w="567" w:type="dxa"/>
            <w:vAlign w:val="center"/>
          </w:tcPr>
          <w:p w14:paraId="35D30D41">
            <w:pPr>
              <w:jc w:val="center"/>
              <w:rPr>
                <w:sz w:val="18"/>
                <w:szCs w:val="18"/>
              </w:rPr>
            </w:pPr>
            <w:r>
              <w:rPr>
                <w:sz w:val="18"/>
                <w:szCs w:val="18"/>
              </w:rPr>
              <w:t>1</w:t>
            </w:r>
          </w:p>
        </w:tc>
        <w:tc>
          <w:tcPr>
            <w:tcW w:w="567" w:type="dxa"/>
            <w:vAlign w:val="center"/>
          </w:tcPr>
          <w:p w14:paraId="7CB0565E">
            <w:pPr>
              <w:jc w:val="center"/>
              <w:rPr>
                <w:sz w:val="18"/>
                <w:szCs w:val="18"/>
              </w:rPr>
            </w:pPr>
            <w:r>
              <w:rPr>
                <w:sz w:val="18"/>
                <w:szCs w:val="18"/>
              </w:rPr>
              <w:t>2</w:t>
            </w:r>
          </w:p>
        </w:tc>
        <w:tc>
          <w:tcPr>
            <w:tcW w:w="567" w:type="dxa"/>
            <w:gridSpan w:val="2"/>
            <w:vAlign w:val="center"/>
          </w:tcPr>
          <w:p w14:paraId="13EE5999">
            <w:pPr>
              <w:jc w:val="center"/>
              <w:rPr>
                <w:sz w:val="18"/>
                <w:szCs w:val="18"/>
              </w:rPr>
            </w:pPr>
            <w:r>
              <w:rPr>
                <w:sz w:val="18"/>
                <w:szCs w:val="18"/>
              </w:rPr>
              <w:t>3</w:t>
            </w:r>
          </w:p>
        </w:tc>
        <w:tc>
          <w:tcPr>
            <w:tcW w:w="425" w:type="dxa"/>
            <w:vAlign w:val="center"/>
          </w:tcPr>
          <w:p w14:paraId="39F00964">
            <w:pPr>
              <w:jc w:val="center"/>
              <w:rPr>
                <w:sz w:val="18"/>
                <w:szCs w:val="18"/>
              </w:rPr>
            </w:pPr>
            <w:r>
              <w:rPr>
                <w:sz w:val="18"/>
                <w:szCs w:val="18"/>
              </w:rPr>
              <w:t>平均</w:t>
            </w:r>
          </w:p>
        </w:tc>
        <w:tc>
          <w:tcPr>
            <w:tcW w:w="709" w:type="dxa"/>
            <w:gridSpan w:val="2"/>
            <w:vMerge w:val="continue"/>
            <w:vAlign w:val="center"/>
          </w:tcPr>
          <w:p w14:paraId="48A50DC1">
            <w:pPr>
              <w:jc w:val="center"/>
              <w:rPr>
                <w:sz w:val="18"/>
                <w:szCs w:val="18"/>
              </w:rPr>
            </w:pPr>
          </w:p>
        </w:tc>
        <w:tc>
          <w:tcPr>
            <w:tcW w:w="708" w:type="dxa"/>
            <w:vMerge w:val="continue"/>
            <w:vAlign w:val="center"/>
          </w:tcPr>
          <w:p w14:paraId="7F0D8970">
            <w:pPr>
              <w:jc w:val="center"/>
              <w:rPr>
                <w:sz w:val="18"/>
                <w:szCs w:val="18"/>
              </w:rPr>
            </w:pPr>
          </w:p>
        </w:tc>
        <w:tc>
          <w:tcPr>
            <w:tcW w:w="709" w:type="dxa"/>
            <w:gridSpan w:val="2"/>
            <w:vMerge w:val="continue"/>
            <w:vAlign w:val="center"/>
          </w:tcPr>
          <w:p w14:paraId="455E9635">
            <w:pPr>
              <w:jc w:val="center"/>
              <w:rPr>
                <w:sz w:val="18"/>
                <w:szCs w:val="18"/>
              </w:rPr>
            </w:pPr>
          </w:p>
        </w:tc>
        <w:tc>
          <w:tcPr>
            <w:tcW w:w="992" w:type="dxa"/>
            <w:vMerge w:val="continue"/>
            <w:vAlign w:val="center"/>
          </w:tcPr>
          <w:p w14:paraId="58B5474B">
            <w:pPr>
              <w:jc w:val="center"/>
              <w:rPr>
                <w:sz w:val="18"/>
                <w:szCs w:val="18"/>
              </w:rPr>
            </w:pPr>
          </w:p>
        </w:tc>
        <w:tc>
          <w:tcPr>
            <w:tcW w:w="567" w:type="dxa"/>
            <w:gridSpan w:val="2"/>
            <w:vAlign w:val="center"/>
          </w:tcPr>
          <w:p w14:paraId="3D7CF27F">
            <w:pPr>
              <w:jc w:val="center"/>
              <w:rPr>
                <w:sz w:val="18"/>
                <w:szCs w:val="18"/>
              </w:rPr>
            </w:pPr>
            <w:r>
              <w:rPr>
                <w:sz w:val="18"/>
                <w:szCs w:val="18"/>
              </w:rPr>
              <w:t>1</w:t>
            </w:r>
          </w:p>
        </w:tc>
        <w:tc>
          <w:tcPr>
            <w:tcW w:w="567" w:type="dxa"/>
            <w:vAlign w:val="center"/>
          </w:tcPr>
          <w:p w14:paraId="7D6FBB57">
            <w:pPr>
              <w:jc w:val="center"/>
              <w:rPr>
                <w:sz w:val="18"/>
                <w:szCs w:val="18"/>
              </w:rPr>
            </w:pPr>
            <w:r>
              <w:rPr>
                <w:sz w:val="18"/>
                <w:szCs w:val="18"/>
              </w:rPr>
              <w:t>2</w:t>
            </w:r>
          </w:p>
        </w:tc>
        <w:tc>
          <w:tcPr>
            <w:tcW w:w="567" w:type="dxa"/>
            <w:vAlign w:val="center"/>
          </w:tcPr>
          <w:p w14:paraId="4272E434">
            <w:pPr>
              <w:jc w:val="center"/>
              <w:rPr>
                <w:sz w:val="18"/>
                <w:szCs w:val="18"/>
              </w:rPr>
            </w:pPr>
            <w:r>
              <w:rPr>
                <w:sz w:val="18"/>
                <w:szCs w:val="18"/>
              </w:rPr>
              <w:t>3</w:t>
            </w:r>
          </w:p>
        </w:tc>
        <w:tc>
          <w:tcPr>
            <w:tcW w:w="426" w:type="dxa"/>
            <w:vAlign w:val="center"/>
          </w:tcPr>
          <w:p w14:paraId="4CA9726F">
            <w:pPr>
              <w:jc w:val="center"/>
              <w:rPr>
                <w:sz w:val="18"/>
                <w:szCs w:val="18"/>
              </w:rPr>
            </w:pPr>
            <w:r>
              <w:rPr>
                <w:sz w:val="18"/>
                <w:szCs w:val="18"/>
              </w:rPr>
              <w:t>平均</w:t>
            </w:r>
          </w:p>
        </w:tc>
        <w:tc>
          <w:tcPr>
            <w:tcW w:w="850" w:type="dxa"/>
            <w:vMerge w:val="continue"/>
            <w:vAlign w:val="center"/>
          </w:tcPr>
          <w:p w14:paraId="1B97FA79">
            <w:pPr>
              <w:jc w:val="center"/>
              <w:rPr>
                <w:sz w:val="18"/>
                <w:szCs w:val="18"/>
              </w:rPr>
            </w:pPr>
          </w:p>
        </w:tc>
        <w:tc>
          <w:tcPr>
            <w:tcW w:w="709" w:type="dxa"/>
            <w:vMerge w:val="continue"/>
            <w:vAlign w:val="center"/>
          </w:tcPr>
          <w:p w14:paraId="3070A7E2">
            <w:pPr>
              <w:jc w:val="center"/>
              <w:rPr>
                <w:sz w:val="18"/>
                <w:szCs w:val="18"/>
              </w:rPr>
            </w:pPr>
          </w:p>
        </w:tc>
        <w:tc>
          <w:tcPr>
            <w:tcW w:w="709" w:type="dxa"/>
            <w:vMerge w:val="continue"/>
            <w:vAlign w:val="center"/>
          </w:tcPr>
          <w:p w14:paraId="6CE55E38">
            <w:pPr>
              <w:jc w:val="center"/>
              <w:rPr>
                <w:sz w:val="18"/>
                <w:szCs w:val="18"/>
              </w:rPr>
            </w:pPr>
          </w:p>
        </w:tc>
      </w:tr>
      <w:tr w14:paraId="1755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8" w:type="dxa"/>
            <w:vAlign w:val="center"/>
          </w:tcPr>
          <w:p w14:paraId="13761A10">
            <w:pPr>
              <w:jc w:val="center"/>
              <w:rPr>
                <w:sz w:val="18"/>
                <w:szCs w:val="18"/>
              </w:rPr>
            </w:pPr>
          </w:p>
        </w:tc>
        <w:tc>
          <w:tcPr>
            <w:tcW w:w="567" w:type="dxa"/>
            <w:vAlign w:val="center"/>
          </w:tcPr>
          <w:p w14:paraId="34D29568">
            <w:pPr>
              <w:jc w:val="center"/>
              <w:rPr>
                <w:sz w:val="18"/>
                <w:szCs w:val="18"/>
              </w:rPr>
            </w:pPr>
          </w:p>
        </w:tc>
        <w:tc>
          <w:tcPr>
            <w:tcW w:w="567" w:type="dxa"/>
            <w:vAlign w:val="center"/>
          </w:tcPr>
          <w:p w14:paraId="0DBA7619">
            <w:pPr>
              <w:jc w:val="center"/>
              <w:rPr>
                <w:sz w:val="18"/>
                <w:szCs w:val="18"/>
              </w:rPr>
            </w:pPr>
          </w:p>
        </w:tc>
        <w:tc>
          <w:tcPr>
            <w:tcW w:w="567" w:type="dxa"/>
            <w:gridSpan w:val="2"/>
            <w:vAlign w:val="center"/>
          </w:tcPr>
          <w:p w14:paraId="45516337">
            <w:pPr>
              <w:jc w:val="center"/>
              <w:rPr>
                <w:sz w:val="18"/>
                <w:szCs w:val="18"/>
              </w:rPr>
            </w:pPr>
          </w:p>
        </w:tc>
        <w:tc>
          <w:tcPr>
            <w:tcW w:w="425" w:type="dxa"/>
            <w:vAlign w:val="center"/>
          </w:tcPr>
          <w:p w14:paraId="5E580F6B">
            <w:pPr>
              <w:jc w:val="center"/>
              <w:rPr>
                <w:sz w:val="18"/>
                <w:szCs w:val="18"/>
              </w:rPr>
            </w:pPr>
          </w:p>
        </w:tc>
        <w:tc>
          <w:tcPr>
            <w:tcW w:w="709" w:type="dxa"/>
            <w:gridSpan w:val="2"/>
            <w:vAlign w:val="center"/>
          </w:tcPr>
          <w:p w14:paraId="73545EEC">
            <w:pPr>
              <w:jc w:val="center"/>
              <w:rPr>
                <w:sz w:val="18"/>
                <w:szCs w:val="18"/>
              </w:rPr>
            </w:pPr>
          </w:p>
        </w:tc>
        <w:tc>
          <w:tcPr>
            <w:tcW w:w="708" w:type="dxa"/>
            <w:vAlign w:val="center"/>
          </w:tcPr>
          <w:p w14:paraId="06CA88E3">
            <w:pPr>
              <w:jc w:val="center"/>
              <w:rPr>
                <w:sz w:val="18"/>
                <w:szCs w:val="18"/>
              </w:rPr>
            </w:pPr>
          </w:p>
        </w:tc>
        <w:tc>
          <w:tcPr>
            <w:tcW w:w="709" w:type="dxa"/>
            <w:gridSpan w:val="2"/>
            <w:vAlign w:val="center"/>
          </w:tcPr>
          <w:p w14:paraId="22F21767">
            <w:pPr>
              <w:jc w:val="center"/>
              <w:rPr>
                <w:sz w:val="18"/>
                <w:szCs w:val="18"/>
              </w:rPr>
            </w:pPr>
          </w:p>
        </w:tc>
        <w:tc>
          <w:tcPr>
            <w:tcW w:w="992" w:type="dxa"/>
            <w:vAlign w:val="center"/>
          </w:tcPr>
          <w:p w14:paraId="3C7880F7">
            <w:pPr>
              <w:jc w:val="center"/>
              <w:rPr>
                <w:sz w:val="18"/>
                <w:szCs w:val="18"/>
              </w:rPr>
            </w:pPr>
          </w:p>
        </w:tc>
        <w:tc>
          <w:tcPr>
            <w:tcW w:w="567" w:type="dxa"/>
            <w:gridSpan w:val="2"/>
            <w:vAlign w:val="center"/>
          </w:tcPr>
          <w:p w14:paraId="75F8668F">
            <w:pPr>
              <w:jc w:val="center"/>
              <w:rPr>
                <w:sz w:val="18"/>
                <w:szCs w:val="18"/>
              </w:rPr>
            </w:pPr>
          </w:p>
        </w:tc>
        <w:tc>
          <w:tcPr>
            <w:tcW w:w="567" w:type="dxa"/>
            <w:vAlign w:val="center"/>
          </w:tcPr>
          <w:p w14:paraId="55836C31">
            <w:pPr>
              <w:jc w:val="center"/>
              <w:rPr>
                <w:sz w:val="18"/>
                <w:szCs w:val="18"/>
              </w:rPr>
            </w:pPr>
          </w:p>
        </w:tc>
        <w:tc>
          <w:tcPr>
            <w:tcW w:w="567" w:type="dxa"/>
            <w:vAlign w:val="center"/>
          </w:tcPr>
          <w:p w14:paraId="2DDA718A">
            <w:pPr>
              <w:jc w:val="center"/>
              <w:rPr>
                <w:sz w:val="18"/>
                <w:szCs w:val="18"/>
              </w:rPr>
            </w:pPr>
          </w:p>
        </w:tc>
        <w:tc>
          <w:tcPr>
            <w:tcW w:w="426" w:type="dxa"/>
            <w:vAlign w:val="center"/>
          </w:tcPr>
          <w:p w14:paraId="30427787">
            <w:pPr>
              <w:jc w:val="center"/>
              <w:rPr>
                <w:sz w:val="18"/>
                <w:szCs w:val="18"/>
              </w:rPr>
            </w:pPr>
          </w:p>
        </w:tc>
        <w:tc>
          <w:tcPr>
            <w:tcW w:w="850" w:type="dxa"/>
            <w:vAlign w:val="center"/>
          </w:tcPr>
          <w:p w14:paraId="00F038F5">
            <w:pPr>
              <w:jc w:val="center"/>
              <w:rPr>
                <w:sz w:val="18"/>
                <w:szCs w:val="18"/>
              </w:rPr>
            </w:pPr>
          </w:p>
        </w:tc>
        <w:tc>
          <w:tcPr>
            <w:tcW w:w="709" w:type="dxa"/>
            <w:vAlign w:val="center"/>
          </w:tcPr>
          <w:p w14:paraId="1AC5CA5A">
            <w:pPr>
              <w:jc w:val="center"/>
              <w:rPr>
                <w:sz w:val="18"/>
                <w:szCs w:val="18"/>
              </w:rPr>
            </w:pPr>
          </w:p>
        </w:tc>
        <w:tc>
          <w:tcPr>
            <w:tcW w:w="709" w:type="dxa"/>
            <w:vAlign w:val="center"/>
          </w:tcPr>
          <w:p w14:paraId="30F08CC7">
            <w:pPr>
              <w:jc w:val="center"/>
              <w:rPr>
                <w:sz w:val="18"/>
                <w:szCs w:val="18"/>
              </w:rPr>
            </w:pPr>
          </w:p>
        </w:tc>
      </w:tr>
      <w:tr w14:paraId="4D9D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8" w:type="dxa"/>
            <w:vAlign w:val="center"/>
          </w:tcPr>
          <w:p w14:paraId="47614171">
            <w:pPr>
              <w:jc w:val="center"/>
              <w:rPr>
                <w:sz w:val="18"/>
                <w:szCs w:val="18"/>
              </w:rPr>
            </w:pPr>
          </w:p>
        </w:tc>
        <w:tc>
          <w:tcPr>
            <w:tcW w:w="567" w:type="dxa"/>
            <w:vAlign w:val="center"/>
          </w:tcPr>
          <w:p w14:paraId="79186613">
            <w:pPr>
              <w:jc w:val="center"/>
              <w:rPr>
                <w:sz w:val="18"/>
                <w:szCs w:val="18"/>
              </w:rPr>
            </w:pPr>
          </w:p>
        </w:tc>
        <w:tc>
          <w:tcPr>
            <w:tcW w:w="567" w:type="dxa"/>
            <w:vAlign w:val="center"/>
          </w:tcPr>
          <w:p w14:paraId="3810DD24">
            <w:pPr>
              <w:jc w:val="center"/>
              <w:rPr>
                <w:sz w:val="18"/>
                <w:szCs w:val="18"/>
              </w:rPr>
            </w:pPr>
          </w:p>
        </w:tc>
        <w:tc>
          <w:tcPr>
            <w:tcW w:w="567" w:type="dxa"/>
            <w:gridSpan w:val="2"/>
            <w:vAlign w:val="center"/>
          </w:tcPr>
          <w:p w14:paraId="7A0079D4">
            <w:pPr>
              <w:jc w:val="center"/>
              <w:rPr>
                <w:sz w:val="18"/>
                <w:szCs w:val="18"/>
              </w:rPr>
            </w:pPr>
          </w:p>
        </w:tc>
        <w:tc>
          <w:tcPr>
            <w:tcW w:w="425" w:type="dxa"/>
            <w:vAlign w:val="center"/>
          </w:tcPr>
          <w:p w14:paraId="7F4EAC5A">
            <w:pPr>
              <w:jc w:val="center"/>
              <w:rPr>
                <w:sz w:val="18"/>
                <w:szCs w:val="18"/>
              </w:rPr>
            </w:pPr>
          </w:p>
        </w:tc>
        <w:tc>
          <w:tcPr>
            <w:tcW w:w="709" w:type="dxa"/>
            <w:gridSpan w:val="2"/>
            <w:vAlign w:val="center"/>
          </w:tcPr>
          <w:p w14:paraId="08370018">
            <w:pPr>
              <w:jc w:val="center"/>
              <w:rPr>
                <w:sz w:val="18"/>
                <w:szCs w:val="18"/>
              </w:rPr>
            </w:pPr>
          </w:p>
        </w:tc>
        <w:tc>
          <w:tcPr>
            <w:tcW w:w="708" w:type="dxa"/>
            <w:vAlign w:val="center"/>
          </w:tcPr>
          <w:p w14:paraId="410B54E3">
            <w:pPr>
              <w:jc w:val="center"/>
              <w:rPr>
                <w:sz w:val="18"/>
                <w:szCs w:val="18"/>
              </w:rPr>
            </w:pPr>
          </w:p>
        </w:tc>
        <w:tc>
          <w:tcPr>
            <w:tcW w:w="709" w:type="dxa"/>
            <w:gridSpan w:val="2"/>
            <w:vAlign w:val="center"/>
          </w:tcPr>
          <w:p w14:paraId="6AC45CD5">
            <w:pPr>
              <w:jc w:val="center"/>
              <w:rPr>
                <w:sz w:val="18"/>
                <w:szCs w:val="18"/>
              </w:rPr>
            </w:pPr>
          </w:p>
        </w:tc>
        <w:tc>
          <w:tcPr>
            <w:tcW w:w="992" w:type="dxa"/>
            <w:vAlign w:val="center"/>
          </w:tcPr>
          <w:p w14:paraId="0A2A4574">
            <w:pPr>
              <w:jc w:val="center"/>
              <w:rPr>
                <w:sz w:val="18"/>
                <w:szCs w:val="18"/>
              </w:rPr>
            </w:pPr>
          </w:p>
        </w:tc>
        <w:tc>
          <w:tcPr>
            <w:tcW w:w="567" w:type="dxa"/>
            <w:gridSpan w:val="2"/>
            <w:vAlign w:val="center"/>
          </w:tcPr>
          <w:p w14:paraId="12B7202D">
            <w:pPr>
              <w:jc w:val="center"/>
              <w:rPr>
                <w:sz w:val="18"/>
                <w:szCs w:val="18"/>
              </w:rPr>
            </w:pPr>
          </w:p>
        </w:tc>
        <w:tc>
          <w:tcPr>
            <w:tcW w:w="567" w:type="dxa"/>
            <w:vAlign w:val="center"/>
          </w:tcPr>
          <w:p w14:paraId="165A1832">
            <w:pPr>
              <w:jc w:val="center"/>
              <w:rPr>
                <w:sz w:val="18"/>
                <w:szCs w:val="18"/>
              </w:rPr>
            </w:pPr>
          </w:p>
        </w:tc>
        <w:tc>
          <w:tcPr>
            <w:tcW w:w="567" w:type="dxa"/>
            <w:vAlign w:val="center"/>
          </w:tcPr>
          <w:p w14:paraId="195EF256">
            <w:pPr>
              <w:jc w:val="center"/>
              <w:rPr>
                <w:sz w:val="18"/>
                <w:szCs w:val="18"/>
              </w:rPr>
            </w:pPr>
          </w:p>
        </w:tc>
        <w:tc>
          <w:tcPr>
            <w:tcW w:w="426" w:type="dxa"/>
            <w:vAlign w:val="center"/>
          </w:tcPr>
          <w:p w14:paraId="6A837B3F">
            <w:pPr>
              <w:jc w:val="center"/>
              <w:rPr>
                <w:sz w:val="18"/>
                <w:szCs w:val="18"/>
              </w:rPr>
            </w:pPr>
          </w:p>
        </w:tc>
        <w:tc>
          <w:tcPr>
            <w:tcW w:w="850" w:type="dxa"/>
            <w:vAlign w:val="center"/>
          </w:tcPr>
          <w:p w14:paraId="511C0DF5">
            <w:pPr>
              <w:jc w:val="center"/>
              <w:rPr>
                <w:sz w:val="18"/>
                <w:szCs w:val="18"/>
              </w:rPr>
            </w:pPr>
          </w:p>
        </w:tc>
        <w:tc>
          <w:tcPr>
            <w:tcW w:w="709" w:type="dxa"/>
            <w:vAlign w:val="center"/>
          </w:tcPr>
          <w:p w14:paraId="3C504353">
            <w:pPr>
              <w:jc w:val="center"/>
              <w:rPr>
                <w:sz w:val="18"/>
                <w:szCs w:val="18"/>
              </w:rPr>
            </w:pPr>
          </w:p>
        </w:tc>
        <w:tc>
          <w:tcPr>
            <w:tcW w:w="709" w:type="dxa"/>
            <w:vAlign w:val="center"/>
          </w:tcPr>
          <w:p w14:paraId="6E33A064">
            <w:pPr>
              <w:jc w:val="center"/>
              <w:rPr>
                <w:sz w:val="18"/>
                <w:szCs w:val="18"/>
              </w:rPr>
            </w:pPr>
          </w:p>
        </w:tc>
      </w:tr>
      <w:tr w14:paraId="7E48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8" w:type="dxa"/>
            <w:vAlign w:val="center"/>
          </w:tcPr>
          <w:p w14:paraId="1B882B55">
            <w:pPr>
              <w:jc w:val="center"/>
              <w:rPr>
                <w:sz w:val="18"/>
                <w:szCs w:val="18"/>
              </w:rPr>
            </w:pPr>
          </w:p>
        </w:tc>
        <w:tc>
          <w:tcPr>
            <w:tcW w:w="567" w:type="dxa"/>
            <w:vAlign w:val="center"/>
          </w:tcPr>
          <w:p w14:paraId="51F30EAE">
            <w:pPr>
              <w:jc w:val="center"/>
              <w:rPr>
                <w:sz w:val="18"/>
                <w:szCs w:val="18"/>
              </w:rPr>
            </w:pPr>
          </w:p>
        </w:tc>
        <w:tc>
          <w:tcPr>
            <w:tcW w:w="567" w:type="dxa"/>
            <w:vAlign w:val="center"/>
          </w:tcPr>
          <w:p w14:paraId="748708E4">
            <w:pPr>
              <w:jc w:val="center"/>
              <w:rPr>
                <w:sz w:val="18"/>
                <w:szCs w:val="18"/>
              </w:rPr>
            </w:pPr>
          </w:p>
        </w:tc>
        <w:tc>
          <w:tcPr>
            <w:tcW w:w="567" w:type="dxa"/>
            <w:gridSpan w:val="2"/>
            <w:vAlign w:val="center"/>
          </w:tcPr>
          <w:p w14:paraId="7B6D114E">
            <w:pPr>
              <w:jc w:val="center"/>
              <w:rPr>
                <w:sz w:val="18"/>
                <w:szCs w:val="18"/>
              </w:rPr>
            </w:pPr>
          </w:p>
        </w:tc>
        <w:tc>
          <w:tcPr>
            <w:tcW w:w="425" w:type="dxa"/>
            <w:vAlign w:val="center"/>
          </w:tcPr>
          <w:p w14:paraId="223DCE8E">
            <w:pPr>
              <w:jc w:val="center"/>
              <w:rPr>
                <w:sz w:val="18"/>
                <w:szCs w:val="18"/>
              </w:rPr>
            </w:pPr>
          </w:p>
        </w:tc>
        <w:tc>
          <w:tcPr>
            <w:tcW w:w="709" w:type="dxa"/>
            <w:gridSpan w:val="2"/>
            <w:vAlign w:val="center"/>
          </w:tcPr>
          <w:p w14:paraId="3829E2BF">
            <w:pPr>
              <w:jc w:val="center"/>
              <w:rPr>
                <w:sz w:val="18"/>
                <w:szCs w:val="18"/>
              </w:rPr>
            </w:pPr>
          </w:p>
        </w:tc>
        <w:tc>
          <w:tcPr>
            <w:tcW w:w="708" w:type="dxa"/>
            <w:vAlign w:val="center"/>
          </w:tcPr>
          <w:p w14:paraId="39EC85F7">
            <w:pPr>
              <w:jc w:val="center"/>
              <w:rPr>
                <w:sz w:val="18"/>
                <w:szCs w:val="18"/>
              </w:rPr>
            </w:pPr>
          </w:p>
        </w:tc>
        <w:tc>
          <w:tcPr>
            <w:tcW w:w="709" w:type="dxa"/>
            <w:gridSpan w:val="2"/>
            <w:vAlign w:val="center"/>
          </w:tcPr>
          <w:p w14:paraId="41DC20A2">
            <w:pPr>
              <w:jc w:val="center"/>
              <w:rPr>
                <w:sz w:val="18"/>
                <w:szCs w:val="18"/>
              </w:rPr>
            </w:pPr>
          </w:p>
        </w:tc>
        <w:tc>
          <w:tcPr>
            <w:tcW w:w="992" w:type="dxa"/>
            <w:vAlign w:val="center"/>
          </w:tcPr>
          <w:p w14:paraId="34DCC0C4">
            <w:pPr>
              <w:jc w:val="center"/>
              <w:rPr>
                <w:sz w:val="18"/>
                <w:szCs w:val="18"/>
              </w:rPr>
            </w:pPr>
          </w:p>
        </w:tc>
        <w:tc>
          <w:tcPr>
            <w:tcW w:w="567" w:type="dxa"/>
            <w:gridSpan w:val="2"/>
            <w:vAlign w:val="center"/>
          </w:tcPr>
          <w:p w14:paraId="13DBF7D9">
            <w:pPr>
              <w:jc w:val="center"/>
              <w:rPr>
                <w:sz w:val="18"/>
                <w:szCs w:val="18"/>
              </w:rPr>
            </w:pPr>
          </w:p>
        </w:tc>
        <w:tc>
          <w:tcPr>
            <w:tcW w:w="567" w:type="dxa"/>
            <w:vAlign w:val="center"/>
          </w:tcPr>
          <w:p w14:paraId="78BFEEBC">
            <w:pPr>
              <w:jc w:val="center"/>
              <w:rPr>
                <w:sz w:val="18"/>
                <w:szCs w:val="18"/>
              </w:rPr>
            </w:pPr>
          </w:p>
        </w:tc>
        <w:tc>
          <w:tcPr>
            <w:tcW w:w="567" w:type="dxa"/>
            <w:vAlign w:val="center"/>
          </w:tcPr>
          <w:p w14:paraId="76369742">
            <w:pPr>
              <w:jc w:val="center"/>
              <w:rPr>
                <w:sz w:val="18"/>
                <w:szCs w:val="18"/>
              </w:rPr>
            </w:pPr>
          </w:p>
        </w:tc>
        <w:tc>
          <w:tcPr>
            <w:tcW w:w="426" w:type="dxa"/>
            <w:vAlign w:val="center"/>
          </w:tcPr>
          <w:p w14:paraId="2755ADA6">
            <w:pPr>
              <w:jc w:val="center"/>
              <w:rPr>
                <w:sz w:val="18"/>
                <w:szCs w:val="18"/>
              </w:rPr>
            </w:pPr>
          </w:p>
        </w:tc>
        <w:tc>
          <w:tcPr>
            <w:tcW w:w="850" w:type="dxa"/>
            <w:vAlign w:val="center"/>
          </w:tcPr>
          <w:p w14:paraId="1CF377B9">
            <w:pPr>
              <w:jc w:val="center"/>
              <w:rPr>
                <w:sz w:val="18"/>
                <w:szCs w:val="18"/>
              </w:rPr>
            </w:pPr>
          </w:p>
        </w:tc>
        <w:tc>
          <w:tcPr>
            <w:tcW w:w="709" w:type="dxa"/>
            <w:vAlign w:val="center"/>
          </w:tcPr>
          <w:p w14:paraId="4344B372">
            <w:pPr>
              <w:jc w:val="center"/>
              <w:rPr>
                <w:sz w:val="18"/>
                <w:szCs w:val="18"/>
              </w:rPr>
            </w:pPr>
          </w:p>
        </w:tc>
        <w:tc>
          <w:tcPr>
            <w:tcW w:w="709" w:type="dxa"/>
            <w:vAlign w:val="center"/>
          </w:tcPr>
          <w:p w14:paraId="3DA501F1">
            <w:pPr>
              <w:jc w:val="center"/>
              <w:rPr>
                <w:sz w:val="18"/>
                <w:szCs w:val="18"/>
              </w:rPr>
            </w:pPr>
          </w:p>
        </w:tc>
      </w:tr>
      <w:tr w14:paraId="50E3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988" w:type="dxa"/>
            <w:vMerge w:val="restart"/>
            <w:vAlign w:val="center"/>
          </w:tcPr>
          <w:p w14:paraId="388F69DA">
            <w:pPr>
              <w:jc w:val="center"/>
              <w:rPr>
                <w:sz w:val="18"/>
                <w:szCs w:val="18"/>
              </w:rPr>
            </w:pPr>
            <w:r>
              <w:rPr>
                <w:sz w:val="18"/>
                <w:szCs w:val="18"/>
              </w:rPr>
              <w:t>刚度</w:t>
            </w:r>
            <w:r>
              <w:rPr>
                <w:rFonts w:hint="eastAsia"/>
                <w:sz w:val="18"/>
                <w:szCs w:val="18"/>
              </w:rPr>
              <w:t>测试</w:t>
            </w:r>
            <w:r>
              <w:rPr>
                <w:sz w:val="18"/>
                <w:szCs w:val="18"/>
              </w:rPr>
              <w:t>结果/N/μm</w:t>
            </w:r>
          </w:p>
        </w:tc>
        <w:tc>
          <w:tcPr>
            <w:tcW w:w="1275" w:type="dxa"/>
            <w:gridSpan w:val="3"/>
            <w:vAlign w:val="center"/>
          </w:tcPr>
          <w:p w14:paraId="70DCB293">
            <w:pPr>
              <w:jc w:val="center"/>
              <w:rPr>
                <w:sz w:val="18"/>
                <w:szCs w:val="18"/>
              </w:rPr>
            </w:pPr>
            <w:r>
              <w:rPr>
                <w:sz w:val="18"/>
                <w:szCs w:val="18"/>
              </w:rPr>
              <w:t>1</w:t>
            </w:r>
          </w:p>
        </w:tc>
        <w:tc>
          <w:tcPr>
            <w:tcW w:w="1276" w:type="dxa"/>
            <w:gridSpan w:val="3"/>
            <w:vAlign w:val="center"/>
          </w:tcPr>
          <w:p w14:paraId="5DBB9E32">
            <w:pPr>
              <w:ind w:left="-105" w:leftChars="-50" w:right="-105" w:rightChars="-50"/>
              <w:jc w:val="center"/>
              <w:rPr>
                <w:sz w:val="18"/>
                <w:szCs w:val="18"/>
              </w:rPr>
            </w:pPr>
            <w:r>
              <w:rPr>
                <w:sz w:val="18"/>
                <w:szCs w:val="18"/>
              </w:rPr>
              <w:t>2</w:t>
            </w:r>
          </w:p>
        </w:tc>
        <w:tc>
          <w:tcPr>
            <w:tcW w:w="1418" w:type="dxa"/>
            <w:gridSpan w:val="3"/>
            <w:vAlign w:val="center"/>
          </w:tcPr>
          <w:p w14:paraId="01B0DA7B">
            <w:pPr>
              <w:jc w:val="center"/>
              <w:rPr>
                <w:sz w:val="18"/>
                <w:szCs w:val="18"/>
              </w:rPr>
            </w:pPr>
            <w:r>
              <w:rPr>
                <w:sz w:val="18"/>
                <w:szCs w:val="18"/>
              </w:rPr>
              <w:t>3</w:t>
            </w:r>
          </w:p>
        </w:tc>
        <w:tc>
          <w:tcPr>
            <w:tcW w:w="1559" w:type="dxa"/>
            <w:gridSpan w:val="3"/>
            <w:vAlign w:val="center"/>
          </w:tcPr>
          <w:p w14:paraId="78BA4CE3">
            <w:pPr>
              <w:jc w:val="center"/>
              <w:rPr>
                <w:sz w:val="18"/>
                <w:szCs w:val="18"/>
              </w:rPr>
            </w:pPr>
            <w:r>
              <w:rPr>
                <w:sz w:val="18"/>
                <w:szCs w:val="18"/>
              </w:rPr>
              <w:t>重复性</w:t>
            </w:r>
          </w:p>
        </w:tc>
        <w:tc>
          <w:tcPr>
            <w:tcW w:w="1843" w:type="dxa"/>
            <w:gridSpan w:val="4"/>
            <w:vAlign w:val="center"/>
          </w:tcPr>
          <w:p w14:paraId="1E24A71E">
            <w:pPr>
              <w:jc w:val="center"/>
              <w:rPr>
                <w:sz w:val="18"/>
                <w:szCs w:val="18"/>
              </w:rPr>
            </w:pPr>
            <w:r>
              <w:rPr>
                <w:sz w:val="18"/>
                <w:szCs w:val="18"/>
              </w:rPr>
              <w:t>不确定度</w:t>
            </w:r>
          </w:p>
        </w:tc>
        <w:tc>
          <w:tcPr>
            <w:tcW w:w="2268" w:type="dxa"/>
            <w:gridSpan w:val="3"/>
            <w:vAlign w:val="center"/>
          </w:tcPr>
          <w:p w14:paraId="7F2BDDAC">
            <w:pPr>
              <w:jc w:val="center"/>
              <w:rPr>
                <w:sz w:val="18"/>
                <w:szCs w:val="18"/>
              </w:rPr>
            </w:pPr>
            <w:r>
              <w:rPr>
                <w:sz w:val="18"/>
                <w:szCs w:val="18"/>
              </w:rPr>
              <w:t>是否达标</w:t>
            </w:r>
          </w:p>
        </w:tc>
      </w:tr>
      <w:tr w14:paraId="62A8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988" w:type="dxa"/>
            <w:vMerge w:val="continue"/>
            <w:vAlign w:val="center"/>
          </w:tcPr>
          <w:p w14:paraId="556EE4F6">
            <w:pPr>
              <w:jc w:val="center"/>
              <w:rPr>
                <w:sz w:val="18"/>
                <w:szCs w:val="18"/>
              </w:rPr>
            </w:pPr>
          </w:p>
        </w:tc>
        <w:tc>
          <w:tcPr>
            <w:tcW w:w="1275" w:type="dxa"/>
            <w:gridSpan w:val="3"/>
            <w:vAlign w:val="center"/>
          </w:tcPr>
          <w:p w14:paraId="1A528F08">
            <w:pPr>
              <w:jc w:val="center"/>
              <w:rPr>
                <w:sz w:val="18"/>
                <w:szCs w:val="18"/>
              </w:rPr>
            </w:pPr>
          </w:p>
        </w:tc>
        <w:tc>
          <w:tcPr>
            <w:tcW w:w="1276" w:type="dxa"/>
            <w:gridSpan w:val="3"/>
            <w:vAlign w:val="center"/>
          </w:tcPr>
          <w:p w14:paraId="6C45DB54">
            <w:pPr>
              <w:jc w:val="center"/>
              <w:rPr>
                <w:sz w:val="18"/>
                <w:szCs w:val="18"/>
              </w:rPr>
            </w:pPr>
          </w:p>
        </w:tc>
        <w:tc>
          <w:tcPr>
            <w:tcW w:w="1418" w:type="dxa"/>
            <w:gridSpan w:val="3"/>
            <w:vAlign w:val="center"/>
          </w:tcPr>
          <w:p w14:paraId="4EFC12E9">
            <w:pPr>
              <w:jc w:val="center"/>
              <w:rPr>
                <w:sz w:val="18"/>
                <w:szCs w:val="18"/>
              </w:rPr>
            </w:pPr>
          </w:p>
        </w:tc>
        <w:tc>
          <w:tcPr>
            <w:tcW w:w="1559" w:type="dxa"/>
            <w:gridSpan w:val="3"/>
            <w:vAlign w:val="center"/>
          </w:tcPr>
          <w:p w14:paraId="376E55FA">
            <w:pPr>
              <w:jc w:val="center"/>
              <w:rPr>
                <w:sz w:val="18"/>
                <w:szCs w:val="18"/>
              </w:rPr>
            </w:pPr>
          </w:p>
        </w:tc>
        <w:tc>
          <w:tcPr>
            <w:tcW w:w="1843" w:type="dxa"/>
            <w:gridSpan w:val="4"/>
            <w:vAlign w:val="center"/>
          </w:tcPr>
          <w:p w14:paraId="1EE52FCA">
            <w:pPr>
              <w:jc w:val="center"/>
              <w:rPr>
                <w:sz w:val="18"/>
                <w:szCs w:val="18"/>
              </w:rPr>
            </w:pPr>
          </w:p>
        </w:tc>
        <w:tc>
          <w:tcPr>
            <w:tcW w:w="2268" w:type="dxa"/>
            <w:gridSpan w:val="3"/>
            <w:vAlign w:val="center"/>
          </w:tcPr>
          <w:p w14:paraId="5967154C">
            <w:pPr>
              <w:jc w:val="center"/>
              <w:rPr>
                <w:sz w:val="18"/>
                <w:szCs w:val="18"/>
              </w:rPr>
            </w:pPr>
          </w:p>
        </w:tc>
      </w:tr>
      <w:tr w14:paraId="0E1C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988" w:type="dxa"/>
            <w:vMerge w:val="continue"/>
            <w:vAlign w:val="center"/>
          </w:tcPr>
          <w:p w14:paraId="074A66D6">
            <w:pPr>
              <w:jc w:val="center"/>
              <w:rPr>
                <w:sz w:val="18"/>
                <w:szCs w:val="18"/>
              </w:rPr>
            </w:pPr>
          </w:p>
        </w:tc>
        <w:tc>
          <w:tcPr>
            <w:tcW w:w="1275" w:type="dxa"/>
            <w:gridSpan w:val="3"/>
            <w:vAlign w:val="center"/>
          </w:tcPr>
          <w:p w14:paraId="4C57D072">
            <w:pPr>
              <w:jc w:val="center"/>
              <w:rPr>
                <w:sz w:val="18"/>
                <w:szCs w:val="18"/>
              </w:rPr>
            </w:pPr>
          </w:p>
        </w:tc>
        <w:tc>
          <w:tcPr>
            <w:tcW w:w="1276" w:type="dxa"/>
            <w:gridSpan w:val="3"/>
            <w:vAlign w:val="center"/>
          </w:tcPr>
          <w:p w14:paraId="5FE481CD">
            <w:pPr>
              <w:jc w:val="center"/>
              <w:rPr>
                <w:sz w:val="18"/>
                <w:szCs w:val="18"/>
              </w:rPr>
            </w:pPr>
          </w:p>
        </w:tc>
        <w:tc>
          <w:tcPr>
            <w:tcW w:w="1418" w:type="dxa"/>
            <w:gridSpan w:val="3"/>
            <w:vAlign w:val="center"/>
          </w:tcPr>
          <w:p w14:paraId="5C546DE3">
            <w:pPr>
              <w:jc w:val="center"/>
              <w:rPr>
                <w:sz w:val="18"/>
                <w:szCs w:val="18"/>
              </w:rPr>
            </w:pPr>
          </w:p>
        </w:tc>
        <w:tc>
          <w:tcPr>
            <w:tcW w:w="1559" w:type="dxa"/>
            <w:gridSpan w:val="3"/>
            <w:vAlign w:val="center"/>
          </w:tcPr>
          <w:p w14:paraId="2E088431">
            <w:pPr>
              <w:jc w:val="center"/>
              <w:rPr>
                <w:sz w:val="18"/>
                <w:szCs w:val="18"/>
              </w:rPr>
            </w:pPr>
          </w:p>
        </w:tc>
        <w:tc>
          <w:tcPr>
            <w:tcW w:w="1843" w:type="dxa"/>
            <w:gridSpan w:val="4"/>
            <w:vAlign w:val="center"/>
          </w:tcPr>
          <w:p w14:paraId="17C426C4">
            <w:pPr>
              <w:jc w:val="center"/>
              <w:rPr>
                <w:sz w:val="18"/>
                <w:szCs w:val="18"/>
              </w:rPr>
            </w:pPr>
          </w:p>
        </w:tc>
        <w:tc>
          <w:tcPr>
            <w:tcW w:w="2268" w:type="dxa"/>
            <w:gridSpan w:val="3"/>
            <w:vAlign w:val="center"/>
          </w:tcPr>
          <w:p w14:paraId="5B0FF44F">
            <w:pPr>
              <w:jc w:val="center"/>
              <w:rPr>
                <w:sz w:val="18"/>
                <w:szCs w:val="18"/>
              </w:rPr>
            </w:pPr>
          </w:p>
        </w:tc>
      </w:tr>
      <w:tr w14:paraId="3E00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988" w:type="dxa"/>
            <w:vMerge w:val="continue"/>
            <w:vAlign w:val="center"/>
          </w:tcPr>
          <w:p w14:paraId="720ECAD8">
            <w:pPr>
              <w:jc w:val="center"/>
              <w:rPr>
                <w:sz w:val="18"/>
                <w:szCs w:val="18"/>
              </w:rPr>
            </w:pPr>
          </w:p>
        </w:tc>
        <w:tc>
          <w:tcPr>
            <w:tcW w:w="1275" w:type="dxa"/>
            <w:gridSpan w:val="3"/>
            <w:vAlign w:val="center"/>
          </w:tcPr>
          <w:p w14:paraId="3C88A420">
            <w:pPr>
              <w:jc w:val="center"/>
              <w:rPr>
                <w:sz w:val="18"/>
                <w:szCs w:val="18"/>
              </w:rPr>
            </w:pPr>
          </w:p>
        </w:tc>
        <w:tc>
          <w:tcPr>
            <w:tcW w:w="1276" w:type="dxa"/>
            <w:gridSpan w:val="3"/>
            <w:vAlign w:val="center"/>
          </w:tcPr>
          <w:p w14:paraId="610D2994">
            <w:pPr>
              <w:jc w:val="center"/>
              <w:rPr>
                <w:sz w:val="18"/>
                <w:szCs w:val="18"/>
              </w:rPr>
            </w:pPr>
          </w:p>
        </w:tc>
        <w:tc>
          <w:tcPr>
            <w:tcW w:w="1418" w:type="dxa"/>
            <w:gridSpan w:val="3"/>
            <w:vAlign w:val="center"/>
          </w:tcPr>
          <w:p w14:paraId="5100F752">
            <w:pPr>
              <w:jc w:val="center"/>
              <w:rPr>
                <w:sz w:val="18"/>
                <w:szCs w:val="18"/>
              </w:rPr>
            </w:pPr>
          </w:p>
        </w:tc>
        <w:tc>
          <w:tcPr>
            <w:tcW w:w="1559" w:type="dxa"/>
            <w:gridSpan w:val="3"/>
            <w:vAlign w:val="center"/>
          </w:tcPr>
          <w:p w14:paraId="2D1CD57D">
            <w:pPr>
              <w:jc w:val="center"/>
              <w:rPr>
                <w:sz w:val="18"/>
                <w:szCs w:val="18"/>
              </w:rPr>
            </w:pPr>
          </w:p>
        </w:tc>
        <w:tc>
          <w:tcPr>
            <w:tcW w:w="1843" w:type="dxa"/>
            <w:gridSpan w:val="4"/>
            <w:vAlign w:val="center"/>
          </w:tcPr>
          <w:p w14:paraId="4636E7F0">
            <w:pPr>
              <w:jc w:val="center"/>
              <w:rPr>
                <w:sz w:val="18"/>
                <w:szCs w:val="18"/>
              </w:rPr>
            </w:pPr>
          </w:p>
        </w:tc>
        <w:tc>
          <w:tcPr>
            <w:tcW w:w="2268" w:type="dxa"/>
            <w:gridSpan w:val="3"/>
            <w:vAlign w:val="center"/>
          </w:tcPr>
          <w:p w14:paraId="436CBFA0">
            <w:pPr>
              <w:jc w:val="center"/>
              <w:rPr>
                <w:sz w:val="18"/>
                <w:szCs w:val="18"/>
              </w:rPr>
            </w:pPr>
          </w:p>
        </w:tc>
      </w:tr>
    </w:tbl>
    <w:p w14:paraId="26723420">
      <w:pPr>
        <w:jc w:val="left"/>
        <w:rPr>
          <w:sz w:val="18"/>
          <w:szCs w:val="18"/>
          <w:u w:val="single"/>
        </w:rPr>
      </w:pPr>
    </w:p>
    <w:p w14:paraId="06466979">
      <w:pPr>
        <w:jc w:val="left"/>
        <w:rPr>
          <w:sz w:val="18"/>
          <w:szCs w:val="18"/>
        </w:rPr>
      </w:pPr>
      <w:r>
        <w:rPr>
          <w:sz w:val="18"/>
          <w:szCs w:val="18"/>
        </w:rPr>
        <w:t xml:space="preserve">备注:                                     核验人员：             </w:t>
      </w:r>
      <w:r>
        <w:rPr>
          <w:rFonts w:hint="eastAsia"/>
          <w:sz w:val="18"/>
          <w:szCs w:val="18"/>
        </w:rPr>
        <w:t xml:space="preserve">             </w:t>
      </w:r>
      <w:r>
        <w:rPr>
          <w:sz w:val="18"/>
          <w:szCs w:val="18"/>
        </w:rPr>
        <w:t xml:space="preserve"> 校准人员：                      </w:t>
      </w:r>
    </w:p>
    <w:p w14:paraId="56490320">
      <w:pPr>
        <w:jc w:val="left"/>
        <w:rPr>
          <w:sz w:val="18"/>
          <w:szCs w:val="18"/>
        </w:rPr>
      </w:pPr>
    </w:p>
    <w:p w14:paraId="4A09B6FE">
      <w:pPr>
        <w:widowControl/>
        <w:jc w:val="left"/>
        <w:rPr>
          <w:sz w:val="18"/>
          <w:szCs w:val="18"/>
        </w:rPr>
      </w:pPr>
      <w:r>
        <w:rPr>
          <w:sz w:val="18"/>
          <w:szCs w:val="18"/>
        </w:rPr>
        <w:br w:type="page"/>
      </w:r>
    </w:p>
    <w:p w14:paraId="71BE1C57">
      <w:pPr>
        <w:rPr>
          <w:sz w:val="18"/>
          <w:szCs w:val="18"/>
        </w:rPr>
        <w:sectPr>
          <w:pgSz w:w="11906" w:h="16838"/>
          <w:pgMar w:top="1440" w:right="1797" w:bottom="1440" w:left="1797" w:header="851" w:footer="992" w:gutter="0"/>
          <w:pgNumType w:start="1"/>
          <w:cols w:space="720" w:num="1"/>
          <w:docGrid w:type="linesAndChars" w:linePitch="312" w:charSpace="0"/>
        </w:sectPr>
      </w:pPr>
    </w:p>
    <w:p w14:paraId="688B31EE">
      <w:pPr>
        <w:pStyle w:val="2"/>
        <w:spacing w:before="312" w:beforeLines="100"/>
        <w:ind w:firstLine="0" w:firstLineChars="0"/>
        <w:rPr>
          <w:b/>
          <w:bCs/>
          <w:sz w:val="24"/>
          <w:szCs w:val="24"/>
        </w:rPr>
      </w:pPr>
      <w:r>
        <w:rPr>
          <w:b/>
          <w:bCs/>
          <w:sz w:val="24"/>
          <w:szCs w:val="24"/>
        </w:rPr>
        <w:t>附录D</w:t>
      </w:r>
      <w:bookmarkEnd w:id="65"/>
    </w:p>
    <w:p w14:paraId="3F076049">
      <w:pPr>
        <w:jc w:val="center"/>
        <w:rPr>
          <w:sz w:val="28"/>
          <w:szCs w:val="28"/>
        </w:rPr>
      </w:pPr>
      <w:r>
        <w:rPr>
          <w:sz w:val="28"/>
          <w:szCs w:val="28"/>
        </w:rPr>
        <w:t>校准证书内页内容</w:t>
      </w:r>
    </w:p>
    <w:p w14:paraId="514D39EE"/>
    <w:tbl>
      <w:tblPr>
        <w:tblStyle w:val="20"/>
        <w:tblW w:w="8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831"/>
        <w:gridCol w:w="2162"/>
        <w:gridCol w:w="1134"/>
        <w:gridCol w:w="141"/>
        <w:gridCol w:w="1560"/>
        <w:gridCol w:w="425"/>
        <w:gridCol w:w="880"/>
        <w:gridCol w:w="1022"/>
      </w:tblGrid>
      <w:tr w14:paraId="554D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40" w:type="dxa"/>
            <w:vMerge w:val="restart"/>
            <w:vAlign w:val="center"/>
          </w:tcPr>
          <w:p w14:paraId="14558A63">
            <w:pPr>
              <w:ind w:left="162" w:hanging="161" w:hangingChars="77"/>
              <w:jc w:val="center"/>
            </w:pPr>
            <w:r>
              <w:t>环</w:t>
            </w:r>
          </w:p>
          <w:p w14:paraId="30AABE06">
            <w:pPr>
              <w:ind w:left="162" w:hanging="161" w:hangingChars="77"/>
              <w:jc w:val="center"/>
            </w:pPr>
            <w:r>
              <w:t>境</w:t>
            </w:r>
          </w:p>
          <w:p w14:paraId="2148BFA7">
            <w:pPr>
              <w:ind w:left="162" w:hanging="161" w:hangingChars="77"/>
              <w:jc w:val="center"/>
            </w:pPr>
            <w:r>
              <w:t>条</w:t>
            </w:r>
          </w:p>
          <w:p w14:paraId="7EED2A7A">
            <w:pPr>
              <w:ind w:left="162" w:hanging="161" w:hangingChars="77"/>
              <w:jc w:val="center"/>
            </w:pPr>
            <w:r>
              <w:t>件</w:t>
            </w:r>
          </w:p>
          <w:p w14:paraId="6B838F17">
            <w:pPr>
              <w:ind w:left="162" w:hanging="161" w:hangingChars="77"/>
              <w:jc w:val="center"/>
            </w:pPr>
            <w:r>
              <w:t>标</w:t>
            </w:r>
          </w:p>
          <w:p w14:paraId="70554777">
            <w:pPr>
              <w:ind w:left="162" w:hanging="161" w:hangingChars="77"/>
              <w:jc w:val="center"/>
            </w:pPr>
            <w:r>
              <w:t>定</w:t>
            </w:r>
          </w:p>
        </w:tc>
        <w:tc>
          <w:tcPr>
            <w:tcW w:w="831" w:type="dxa"/>
            <w:vMerge w:val="restart"/>
            <w:textDirection w:val="tbRlV"/>
            <w:vAlign w:val="center"/>
          </w:tcPr>
          <w:p w14:paraId="580CB1FA">
            <w:pPr>
              <w:ind w:left="113" w:right="113"/>
              <w:jc w:val="center"/>
            </w:pPr>
            <w:r>
              <w:rPr>
                <w:rFonts w:hint="eastAsia"/>
              </w:rPr>
              <w:t>试验机系统切向刚度</w:t>
            </w:r>
          </w:p>
          <w:p w14:paraId="12A39892">
            <w:pPr>
              <w:ind w:left="113" w:right="113"/>
              <w:jc w:val="center"/>
            </w:pPr>
            <w:r>
              <w:rPr>
                <w:rFonts w:hint="eastAsia"/>
              </w:rPr>
              <w:t>校准装置</w:t>
            </w:r>
          </w:p>
        </w:tc>
        <w:tc>
          <w:tcPr>
            <w:tcW w:w="3296" w:type="dxa"/>
            <w:gridSpan w:val="2"/>
            <w:vAlign w:val="center"/>
          </w:tcPr>
          <w:p w14:paraId="1AB43E2C">
            <w:pPr>
              <w:jc w:val="center"/>
            </w:pPr>
            <w:r>
              <w:rPr>
                <w:rFonts w:hint="eastAsia"/>
              </w:rPr>
              <w:t>测量项目</w:t>
            </w:r>
          </w:p>
        </w:tc>
        <w:tc>
          <w:tcPr>
            <w:tcW w:w="2126" w:type="dxa"/>
            <w:gridSpan w:val="3"/>
            <w:vAlign w:val="center"/>
          </w:tcPr>
          <w:p w14:paraId="0FC1E83E">
            <w:pPr>
              <w:jc w:val="center"/>
            </w:pPr>
            <w:r>
              <w:t>校准结果</w:t>
            </w:r>
          </w:p>
        </w:tc>
        <w:tc>
          <w:tcPr>
            <w:tcW w:w="1902" w:type="dxa"/>
            <w:gridSpan w:val="2"/>
            <w:vAlign w:val="center"/>
          </w:tcPr>
          <w:p w14:paraId="1CF7463A">
            <w:pPr>
              <w:jc w:val="center"/>
            </w:pPr>
            <w:r>
              <w:t>重复性</w:t>
            </w:r>
          </w:p>
        </w:tc>
      </w:tr>
      <w:tr w14:paraId="15AC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40" w:type="dxa"/>
            <w:vMerge w:val="continue"/>
            <w:vAlign w:val="center"/>
          </w:tcPr>
          <w:p w14:paraId="6A01F22C">
            <w:pPr>
              <w:ind w:left="162" w:hanging="161" w:hangingChars="77"/>
              <w:jc w:val="center"/>
            </w:pPr>
          </w:p>
        </w:tc>
        <w:tc>
          <w:tcPr>
            <w:tcW w:w="831" w:type="dxa"/>
            <w:vMerge w:val="continue"/>
            <w:textDirection w:val="tbRlV"/>
            <w:vAlign w:val="center"/>
          </w:tcPr>
          <w:p w14:paraId="67B47BD1">
            <w:pPr>
              <w:ind w:left="113" w:right="113"/>
              <w:jc w:val="center"/>
            </w:pPr>
          </w:p>
        </w:tc>
        <w:tc>
          <w:tcPr>
            <w:tcW w:w="3296" w:type="dxa"/>
            <w:gridSpan w:val="2"/>
            <w:vAlign w:val="center"/>
          </w:tcPr>
          <w:p w14:paraId="11FEE81B">
            <w:pPr>
              <w:jc w:val="center"/>
            </w:pPr>
            <w:r>
              <w:t>校准装置位移</w:t>
            </w:r>
            <w:r>
              <w:rPr>
                <w:rFonts w:hint="eastAsia"/>
              </w:rPr>
              <w:t>示值误差</w:t>
            </w:r>
          </w:p>
        </w:tc>
        <w:tc>
          <w:tcPr>
            <w:tcW w:w="2126" w:type="dxa"/>
            <w:gridSpan w:val="3"/>
            <w:vAlign w:val="center"/>
          </w:tcPr>
          <w:p w14:paraId="7B1B0BDA">
            <w:pPr>
              <w:jc w:val="center"/>
            </w:pPr>
          </w:p>
        </w:tc>
        <w:tc>
          <w:tcPr>
            <w:tcW w:w="1902" w:type="dxa"/>
            <w:gridSpan w:val="2"/>
            <w:vAlign w:val="center"/>
          </w:tcPr>
          <w:p w14:paraId="57A2A54D">
            <w:pPr>
              <w:jc w:val="center"/>
            </w:pPr>
          </w:p>
        </w:tc>
      </w:tr>
      <w:tr w14:paraId="50CB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40" w:type="dxa"/>
            <w:vMerge w:val="continue"/>
            <w:vAlign w:val="center"/>
          </w:tcPr>
          <w:p w14:paraId="11C26445">
            <w:pPr>
              <w:jc w:val="center"/>
            </w:pPr>
          </w:p>
        </w:tc>
        <w:tc>
          <w:tcPr>
            <w:tcW w:w="831" w:type="dxa"/>
            <w:vMerge w:val="continue"/>
            <w:vAlign w:val="center"/>
          </w:tcPr>
          <w:p w14:paraId="698D5BB1">
            <w:pPr>
              <w:jc w:val="center"/>
            </w:pPr>
          </w:p>
        </w:tc>
        <w:tc>
          <w:tcPr>
            <w:tcW w:w="3296" w:type="dxa"/>
            <w:gridSpan w:val="2"/>
            <w:vAlign w:val="center"/>
          </w:tcPr>
          <w:p w14:paraId="6F039114">
            <w:pPr>
              <w:jc w:val="center"/>
            </w:pPr>
            <w:r>
              <w:t>校准装置力</w:t>
            </w:r>
            <w:r>
              <w:rPr>
                <w:rFonts w:hint="eastAsia"/>
              </w:rPr>
              <w:t>值示值误差</w:t>
            </w:r>
          </w:p>
        </w:tc>
        <w:tc>
          <w:tcPr>
            <w:tcW w:w="2126" w:type="dxa"/>
            <w:gridSpan w:val="3"/>
            <w:vAlign w:val="center"/>
          </w:tcPr>
          <w:p w14:paraId="76E1AF2A">
            <w:pPr>
              <w:jc w:val="center"/>
            </w:pPr>
          </w:p>
        </w:tc>
        <w:tc>
          <w:tcPr>
            <w:tcW w:w="1902" w:type="dxa"/>
            <w:gridSpan w:val="2"/>
            <w:vAlign w:val="center"/>
          </w:tcPr>
          <w:p w14:paraId="4B09C4AF">
            <w:pPr>
              <w:jc w:val="center"/>
            </w:pPr>
          </w:p>
        </w:tc>
      </w:tr>
      <w:tr w14:paraId="4C6A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440" w:type="dxa"/>
            <w:vMerge w:val="continue"/>
            <w:vAlign w:val="center"/>
          </w:tcPr>
          <w:p w14:paraId="233FEB02">
            <w:pPr>
              <w:jc w:val="center"/>
            </w:pPr>
          </w:p>
        </w:tc>
        <w:tc>
          <w:tcPr>
            <w:tcW w:w="831" w:type="dxa"/>
            <w:vMerge w:val="continue"/>
            <w:vAlign w:val="center"/>
          </w:tcPr>
          <w:p w14:paraId="6627680B">
            <w:pPr>
              <w:jc w:val="center"/>
            </w:pPr>
          </w:p>
        </w:tc>
        <w:tc>
          <w:tcPr>
            <w:tcW w:w="3296" w:type="dxa"/>
            <w:gridSpan w:val="2"/>
            <w:vAlign w:val="center"/>
          </w:tcPr>
          <w:p w14:paraId="10CF504E">
            <w:pPr>
              <w:jc w:val="center"/>
            </w:pPr>
            <w:r>
              <w:t>温度</w:t>
            </w:r>
          </w:p>
        </w:tc>
        <w:tc>
          <w:tcPr>
            <w:tcW w:w="2126" w:type="dxa"/>
            <w:gridSpan w:val="3"/>
            <w:vAlign w:val="center"/>
          </w:tcPr>
          <w:p w14:paraId="7C487FCC">
            <w:pPr>
              <w:jc w:val="center"/>
            </w:pPr>
          </w:p>
        </w:tc>
        <w:tc>
          <w:tcPr>
            <w:tcW w:w="1902" w:type="dxa"/>
            <w:gridSpan w:val="2"/>
            <w:vAlign w:val="center"/>
          </w:tcPr>
          <w:p w14:paraId="045BAF8C">
            <w:pPr>
              <w:jc w:val="center"/>
            </w:pPr>
          </w:p>
        </w:tc>
      </w:tr>
      <w:tr w14:paraId="5CDF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440" w:type="dxa"/>
            <w:vMerge w:val="continue"/>
            <w:vAlign w:val="center"/>
          </w:tcPr>
          <w:p w14:paraId="2239DED9">
            <w:pPr>
              <w:jc w:val="center"/>
            </w:pPr>
          </w:p>
        </w:tc>
        <w:tc>
          <w:tcPr>
            <w:tcW w:w="831" w:type="dxa"/>
            <w:vMerge w:val="continue"/>
            <w:vAlign w:val="center"/>
          </w:tcPr>
          <w:p w14:paraId="2126FA55">
            <w:pPr>
              <w:jc w:val="center"/>
            </w:pPr>
          </w:p>
        </w:tc>
        <w:tc>
          <w:tcPr>
            <w:tcW w:w="3296" w:type="dxa"/>
            <w:gridSpan w:val="2"/>
            <w:vAlign w:val="center"/>
          </w:tcPr>
          <w:p w14:paraId="6F5E5E00">
            <w:pPr>
              <w:jc w:val="center"/>
            </w:pPr>
            <w:r>
              <w:t>湿度</w:t>
            </w:r>
          </w:p>
        </w:tc>
        <w:tc>
          <w:tcPr>
            <w:tcW w:w="2126" w:type="dxa"/>
            <w:gridSpan w:val="3"/>
            <w:vAlign w:val="center"/>
          </w:tcPr>
          <w:p w14:paraId="12491F03">
            <w:pPr>
              <w:jc w:val="center"/>
            </w:pPr>
          </w:p>
        </w:tc>
        <w:tc>
          <w:tcPr>
            <w:tcW w:w="1902" w:type="dxa"/>
            <w:gridSpan w:val="2"/>
            <w:vAlign w:val="center"/>
          </w:tcPr>
          <w:p w14:paraId="1A37770E">
            <w:pPr>
              <w:jc w:val="center"/>
            </w:pPr>
          </w:p>
        </w:tc>
      </w:tr>
      <w:tr w14:paraId="736E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440" w:type="dxa"/>
            <w:vMerge w:val="continue"/>
            <w:vAlign w:val="center"/>
          </w:tcPr>
          <w:p w14:paraId="3609CCDC">
            <w:pPr>
              <w:jc w:val="center"/>
            </w:pPr>
          </w:p>
        </w:tc>
        <w:tc>
          <w:tcPr>
            <w:tcW w:w="831" w:type="dxa"/>
            <w:vMerge w:val="continue"/>
            <w:vAlign w:val="center"/>
          </w:tcPr>
          <w:p w14:paraId="3104D7E2">
            <w:pPr>
              <w:jc w:val="center"/>
            </w:pPr>
          </w:p>
        </w:tc>
        <w:tc>
          <w:tcPr>
            <w:tcW w:w="3296" w:type="dxa"/>
            <w:gridSpan w:val="2"/>
            <w:vAlign w:val="center"/>
          </w:tcPr>
          <w:p w14:paraId="21DAC947">
            <w:pPr>
              <w:jc w:val="center"/>
            </w:pPr>
            <w:r>
              <w:rPr>
                <w:rFonts w:hint="eastAsia"/>
              </w:rPr>
              <w:t>光照强度</w:t>
            </w:r>
          </w:p>
        </w:tc>
        <w:tc>
          <w:tcPr>
            <w:tcW w:w="2126" w:type="dxa"/>
            <w:gridSpan w:val="3"/>
            <w:vAlign w:val="center"/>
          </w:tcPr>
          <w:p w14:paraId="616869E7">
            <w:pPr>
              <w:jc w:val="center"/>
            </w:pPr>
          </w:p>
        </w:tc>
        <w:tc>
          <w:tcPr>
            <w:tcW w:w="1902" w:type="dxa"/>
            <w:gridSpan w:val="2"/>
            <w:vAlign w:val="center"/>
          </w:tcPr>
          <w:p w14:paraId="7DB3BD33">
            <w:pPr>
              <w:jc w:val="center"/>
            </w:pPr>
          </w:p>
        </w:tc>
      </w:tr>
      <w:tr w14:paraId="52AA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440" w:type="dxa"/>
            <w:vMerge w:val="continue"/>
            <w:vAlign w:val="center"/>
          </w:tcPr>
          <w:p w14:paraId="0DC3F0A5">
            <w:pPr>
              <w:jc w:val="center"/>
            </w:pPr>
          </w:p>
        </w:tc>
        <w:tc>
          <w:tcPr>
            <w:tcW w:w="831" w:type="dxa"/>
            <w:vMerge w:val="restart"/>
            <w:textDirection w:val="tbRlV"/>
            <w:vAlign w:val="center"/>
          </w:tcPr>
          <w:p w14:paraId="08FB2AEA">
            <w:pPr>
              <w:ind w:left="113" w:right="113"/>
              <w:jc w:val="center"/>
            </w:pPr>
            <w:r>
              <w:rPr>
                <w:rFonts w:hint="eastAsia"/>
              </w:rPr>
              <w:t>校准使用的</w:t>
            </w:r>
          </w:p>
          <w:p w14:paraId="7B21A993">
            <w:pPr>
              <w:ind w:left="113" w:right="113"/>
              <w:jc w:val="center"/>
            </w:pPr>
            <w:r>
              <w:rPr>
                <w:rFonts w:hint="eastAsia"/>
              </w:rPr>
              <w:t>标准装置</w:t>
            </w:r>
          </w:p>
        </w:tc>
        <w:tc>
          <w:tcPr>
            <w:tcW w:w="2162" w:type="dxa"/>
            <w:vAlign w:val="center"/>
          </w:tcPr>
          <w:p w14:paraId="7FAD76FB">
            <w:pPr>
              <w:jc w:val="center"/>
            </w:pPr>
            <w:r>
              <w:rPr>
                <w:rFonts w:hint="eastAsia"/>
              </w:rPr>
              <w:t>测量项目</w:t>
            </w:r>
          </w:p>
        </w:tc>
        <w:tc>
          <w:tcPr>
            <w:tcW w:w="1275" w:type="dxa"/>
            <w:gridSpan w:val="2"/>
            <w:vAlign w:val="center"/>
          </w:tcPr>
          <w:p w14:paraId="4DEAC030">
            <w:pPr>
              <w:jc w:val="center"/>
            </w:pPr>
            <w:r>
              <w:rPr>
                <w:rFonts w:hint="eastAsia"/>
              </w:rPr>
              <w:t>测量范围</w:t>
            </w:r>
          </w:p>
        </w:tc>
        <w:tc>
          <w:tcPr>
            <w:tcW w:w="1560" w:type="dxa"/>
            <w:vAlign w:val="center"/>
          </w:tcPr>
          <w:p w14:paraId="3CBA7B3D">
            <w:pPr>
              <w:jc w:val="center"/>
            </w:pPr>
            <w:r>
              <w:rPr>
                <w:rFonts w:hint="eastAsia"/>
              </w:rPr>
              <w:t>测量不确定度</w:t>
            </w:r>
          </w:p>
        </w:tc>
        <w:tc>
          <w:tcPr>
            <w:tcW w:w="1305" w:type="dxa"/>
            <w:gridSpan w:val="2"/>
            <w:vAlign w:val="center"/>
          </w:tcPr>
          <w:p w14:paraId="3F494C99">
            <w:pPr>
              <w:jc w:val="center"/>
            </w:pPr>
            <w:r>
              <w:rPr>
                <w:rFonts w:hint="eastAsia"/>
              </w:rPr>
              <w:t>证书编号</w:t>
            </w:r>
          </w:p>
        </w:tc>
        <w:tc>
          <w:tcPr>
            <w:tcW w:w="1022" w:type="dxa"/>
            <w:vAlign w:val="center"/>
          </w:tcPr>
          <w:p w14:paraId="591696F8">
            <w:pPr>
              <w:jc w:val="center"/>
            </w:pPr>
            <w:r>
              <w:rPr>
                <w:rFonts w:hint="eastAsia"/>
              </w:rPr>
              <w:t>有效期</w:t>
            </w:r>
          </w:p>
        </w:tc>
      </w:tr>
      <w:tr w14:paraId="5A10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440" w:type="dxa"/>
            <w:vMerge w:val="continue"/>
            <w:vAlign w:val="center"/>
          </w:tcPr>
          <w:p w14:paraId="75A3AF82">
            <w:pPr>
              <w:jc w:val="center"/>
            </w:pPr>
          </w:p>
        </w:tc>
        <w:tc>
          <w:tcPr>
            <w:tcW w:w="831" w:type="dxa"/>
            <w:vMerge w:val="continue"/>
            <w:vAlign w:val="center"/>
          </w:tcPr>
          <w:p w14:paraId="7D5A2D13">
            <w:pPr>
              <w:jc w:val="center"/>
            </w:pPr>
          </w:p>
        </w:tc>
        <w:tc>
          <w:tcPr>
            <w:tcW w:w="2162" w:type="dxa"/>
            <w:vAlign w:val="center"/>
          </w:tcPr>
          <w:p w14:paraId="07803C86">
            <w:pPr>
              <w:jc w:val="center"/>
            </w:pPr>
            <w:r>
              <w:rPr>
                <w:rFonts w:hint="eastAsia"/>
              </w:rPr>
              <w:t>激光干涉仪</w:t>
            </w:r>
          </w:p>
        </w:tc>
        <w:tc>
          <w:tcPr>
            <w:tcW w:w="1275" w:type="dxa"/>
            <w:gridSpan w:val="2"/>
            <w:vAlign w:val="center"/>
          </w:tcPr>
          <w:p w14:paraId="7363CF7D">
            <w:pPr>
              <w:jc w:val="center"/>
            </w:pPr>
          </w:p>
        </w:tc>
        <w:tc>
          <w:tcPr>
            <w:tcW w:w="1560" w:type="dxa"/>
            <w:vAlign w:val="center"/>
          </w:tcPr>
          <w:p w14:paraId="5D9E95A7">
            <w:pPr>
              <w:jc w:val="center"/>
            </w:pPr>
          </w:p>
        </w:tc>
        <w:tc>
          <w:tcPr>
            <w:tcW w:w="1305" w:type="dxa"/>
            <w:gridSpan w:val="2"/>
            <w:vAlign w:val="center"/>
          </w:tcPr>
          <w:p w14:paraId="289C7DB4">
            <w:pPr>
              <w:jc w:val="center"/>
            </w:pPr>
          </w:p>
        </w:tc>
        <w:tc>
          <w:tcPr>
            <w:tcW w:w="1022" w:type="dxa"/>
            <w:vAlign w:val="center"/>
          </w:tcPr>
          <w:p w14:paraId="27E0119E">
            <w:pPr>
              <w:jc w:val="center"/>
            </w:pPr>
          </w:p>
        </w:tc>
      </w:tr>
      <w:tr w14:paraId="75A9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440" w:type="dxa"/>
            <w:vMerge w:val="continue"/>
            <w:vAlign w:val="center"/>
          </w:tcPr>
          <w:p w14:paraId="42FFEC85">
            <w:pPr>
              <w:jc w:val="center"/>
            </w:pPr>
          </w:p>
        </w:tc>
        <w:tc>
          <w:tcPr>
            <w:tcW w:w="831" w:type="dxa"/>
            <w:vMerge w:val="continue"/>
            <w:vAlign w:val="center"/>
          </w:tcPr>
          <w:p w14:paraId="5182FA15">
            <w:pPr>
              <w:jc w:val="center"/>
            </w:pPr>
          </w:p>
        </w:tc>
        <w:tc>
          <w:tcPr>
            <w:tcW w:w="2162" w:type="dxa"/>
            <w:vAlign w:val="center"/>
          </w:tcPr>
          <w:p w14:paraId="28C0D6CA">
            <w:pPr>
              <w:jc w:val="center"/>
            </w:pPr>
            <w:r>
              <w:rPr>
                <w:rFonts w:hint="eastAsia"/>
              </w:rPr>
              <w:t>标准测力仪</w:t>
            </w:r>
          </w:p>
        </w:tc>
        <w:tc>
          <w:tcPr>
            <w:tcW w:w="1275" w:type="dxa"/>
            <w:gridSpan w:val="2"/>
            <w:vAlign w:val="center"/>
          </w:tcPr>
          <w:p w14:paraId="7D834428">
            <w:pPr>
              <w:jc w:val="center"/>
            </w:pPr>
          </w:p>
        </w:tc>
        <w:tc>
          <w:tcPr>
            <w:tcW w:w="1560" w:type="dxa"/>
            <w:vAlign w:val="center"/>
          </w:tcPr>
          <w:p w14:paraId="08FCD116">
            <w:pPr>
              <w:jc w:val="center"/>
            </w:pPr>
          </w:p>
        </w:tc>
        <w:tc>
          <w:tcPr>
            <w:tcW w:w="1305" w:type="dxa"/>
            <w:gridSpan w:val="2"/>
            <w:vAlign w:val="center"/>
          </w:tcPr>
          <w:p w14:paraId="25C5EFBC">
            <w:pPr>
              <w:jc w:val="center"/>
            </w:pPr>
          </w:p>
        </w:tc>
        <w:tc>
          <w:tcPr>
            <w:tcW w:w="1022" w:type="dxa"/>
            <w:vAlign w:val="center"/>
          </w:tcPr>
          <w:p w14:paraId="65EDFA54">
            <w:pPr>
              <w:jc w:val="center"/>
            </w:pPr>
          </w:p>
        </w:tc>
      </w:tr>
    </w:tbl>
    <w:p w14:paraId="237C5E8B">
      <w:pPr>
        <w:widowControl/>
        <w:jc w:val="left"/>
        <w:rPr>
          <w:rStyle w:val="23"/>
          <w:rFonts w:ascii="Times New Roman" w:hAnsi="Times New Roman"/>
        </w:rPr>
        <w:sectPr>
          <w:footerReference r:id="rId12" w:type="default"/>
          <w:pgSz w:w="11906" w:h="16838"/>
          <w:pgMar w:top="1440" w:right="1797" w:bottom="1440" w:left="1797" w:header="851" w:footer="992" w:gutter="0"/>
          <w:pgNumType w:start="17"/>
          <w:cols w:space="720" w:num="1"/>
          <w:docGrid w:type="linesAndChars" w:linePitch="312" w:charSpace="0"/>
        </w:sectPr>
      </w:pPr>
    </w:p>
    <w:p w14:paraId="61B2BC75">
      <w:pPr>
        <w:widowControl/>
        <w:jc w:val="left"/>
        <w:rPr>
          <w:rStyle w:val="23"/>
          <w:rFonts w:ascii="Times New Roman" w:hAnsi="Times New Roman"/>
        </w:rPr>
      </w:pPr>
    </w:p>
    <w:p w14:paraId="7076F606">
      <w:pPr>
        <w:pStyle w:val="50"/>
        <w:ind w:firstLine="0" w:firstLineChars="0"/>
        <w:jc w:val="right"/>
        <w:rPr>
          <w:rFonts w:eastAsia="宋体"/>
        </w:rPr>
      </w:pPr>
      <w:r>
        <w:rPr>
          <w:rFonts w:eastAsia="宋体"/>
        </w:rPr>
        <w:drawing>
          <wp:inline distT="0" distB="0" distL="0" distR="0">
            <wp:extent cx="419100" cy="2686050"/>
            <wp:effectExtent l="0" t="0" r="0" b="0"/>
            <wp:docPr id="110393217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932170" name="图片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19100" cy="2686050"/>
                    </a:xfrm>
                    <a:prstGeom prst="rect">
                      <a:avLst/>
                    </a:prstGeom>
                    <a:noFill/>
                    <a:ln>
                      <a:noFill/>
                    </a:ln>
                  </pic:spPr>
                </pic:pic>
              </a:graphicData>
            </a:graphic>
          </wp:inline>
        </w:drawing>
      </w:r>
    </w:p>
    <w:p w14:paraId="1EC92B22">
      <w:r>
        <w:t xml:space="preserve"> </w:t>
      </w:r>
    </w:p>
    <w:p w14:paraId="26888102"/>
    <w:p w14:paraId="5DC9F268"/>
    <w:p w14:paraId="276560F7"/>
    <w:p w14:paraId="7745ADC2"/>
    <w:p w14:paraId="4727D700"/>
    <w:p w14:paraId="5E6FE7A6"/>
    <w:p w14:paraId="0616C48B"/>
    <w:p w14:paraId="327EB7ED"/>
    <w:p w14:paraId="4262D81D">
      <w:r>
        <w:t xml:space="preserve"> </w:t>
      </w:r>
    </w:p>
    <w:p w14:paraId="6509A248">
      <w:r>
        <w:t xml:space="preserve"> </w:t>
      </w:r>
    </w:p>
    <w:p w14:paraId="3DA38484">
      <w:r>
        <w:t xml:space="preserve"> </w:t>
      </w:r>
    </w:p>
    <w:p w14:paraId="451F860F">
      <w:r>
        <w:t xml:space="preserve"> </w:t>
      </w:r>
    </w:p>
    <w:p w14:paraId="6566B993">
      <w:r>
        <w:t xml:space="preserve"> </w:t>
      </w:r>
    </w:p>
    <w:p w14:paraId="30EA2B39">
      <w:r>
        <w:t xml:space="preserve"> </w:t>
      </w:r>
    </w:p>
    <w:p w14:paraId="2288F5FC">
      <w:r>
        <w:t xml:space="preserve"> </w:t>
      </w:r>
    </w:p>
    <w:p w14:paraId="7B519AF0">
      <w:r>
        <w:t xml:space="preserve"> </w:t>
      </w:r>
    </w:p>
    <w:p w14:paraId="04B1D397">
      <w:pPr>
        <w:spacing w:line="324" w:lineRule="auto"/>
        <w:jc w:val="center"/>
        <w:rPr>
          <w:spacing w:val="30"/>
          <w:sz w:val="28"/>
          <w:szCs w:val="28"/>
        </w:rPr>
      </w:pPr>
      <w:r>
        <w:rPr>
          <w:spacing w:val="30"/>
          <w:sz w:val="28"/>
          <w:szCs w:val="28"/>
        </w:rPr>
        <w:t>中华人民共和国</w:t>
      </w:r>
    </w:p>
    <w:p w14:paraId="350EF8A3">
      <w:pPr>
        <w:spacing w:line="324" w:lineRule="auto"/>
        <w:jc w:val="center"/>
        <w:rPr>
          <w:spacing w:val="30"/>
          <w:sz w:val="28"/>
          <w:szCs w:val="28"/>
        </w:rPr>
      </w:pPr>
      <w:r>
        <w:rPr>
          <w:spacing w:val="30"/>
          <w:sz w:val="28"/>
          <w:szCs w:val="28"/>
        </w:rPr>
        <w:t>国家计量技术规范</w:t>
      </w:r>
    </w:p>
    <w:p w14:paraId="1A654236">
      <w:pPr>
        <w:spacing w:line="324" w:lineRule="auto"/>
        <w:jc w:val="center"/>
        <w:rPr>
          <w:spacing w:val="50"/>
          <w:sz w:val="28"/>
          <w:szCs w:val="28"/>
        </w:rPr>
      </w:pPr>
      <w:r>
        <w:rPr>
          <w:spacing w:val="50"/>
          <w:sz w:val="28"/>
          <w:szCs w:val="28"/>
        </w:rPr>
        <w:t>XXXXXXXX校准规范</w:t>
      </w:r>
    </w:p>
    <w:p w14:paraId="39A9BF8D">
      <w:pPr>
        <w:spacing w:line="324" w:lineRule="auto"/>
        <w:jc w:val="center"/>
        <w:rPr>
          <w:b/>
          <w:sz w:val="28"/>
          <w:szCs w:val="28"/>
        </w:rPr>
      </w:pPr>
      <w:r>
        <w:rPr>
          <w:b/>
          <w:sz w:val="28"/>
          <w:szCs w:val="28"/>
        </w:rPr>
        <w:t>JJF</w:t>
      </w:r>
      <w:r>
        <w:rPr>
          <w:sz w:val="28"/>
          <w:szCs w:val="28"/>
        </w:rPr>
        <w:t>XXXX—XXXX</w:t>
      </w:r>
    </w:p>
    <w:p w14:paraId="01295BED">
      <w:pPr>
        <w:widowControl/>
        <w:jc w:val="left"/>
        <w:rPr>
          <w:sz w:val="24"/>
          <w:szCs w:val="24"/>
        </w:rPr>
      </w:pPr>
      <w:r>
        <w:rPr>
          <w:spacing w:val="20"/>
          <w:sz w:val="28"/>
          <w:szCs w:val="28"/>
        </w:rPr>
        <w:t>国家市场监督管理总局发布</w:t>
      </w:r>
    </w:p>
    <w:sectPr>
      <w:footerReference r:id="rId13" w:type="default"/>
      <w:pgSz w:w="11906" w:h="16838"/>
      <w:pgMar w:top="1440" w:right="1797" w:bottom="1440" w:left="1797" w:header="851" w:footer="992" w:gutter="0"/>
      <w:pgNumType w:start="17"/>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11024">
    <w:pPr>
      <w:pStyle w:val="14"/>
      <w:jc w:val="center"/>
      <w:rPr>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4F865">
    <w:pPr>
      <w:pStyle w:val="14"/>
      <w:ind w:firstLine="8640" w:firstLineChars="4800"/>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24370">
    <w:pPr>
      <w:pStyle w:val="1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B3F41">
    <w:pPr>
      <w:pStyle w:val="1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9071142"/>
      <w:docPartObj>
        <w:docPartGallery w:val="AutoText"/>
      </w:docPartObj>
    </w:sdtPr>
    <w:sdtContent>
      <w:p w14:paraId="1232AF42">
        <w:pPr>
          <w:pStyle w:val="14"/>
          <w:jc w:val="center"/>
        </w:pPr>
        <w:r>
          <w:fldChar w:fldCharType="begin"/>
        </w:r>
        <w:r>
          <w:instrText xml:space="preserve">PAGE   \* MERGEFORMAT</w:instrText>
        </w:r>
        <w:r>
          <w:fldChar w:fldCharType="separate"/>
        </w:r>
        <w:r>
          <w:rPr>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A2AD2">
    <w:pPr>
      <w:pStyle w:val="14"/>
      <w:jc w:val="center"/>
    </w:pPr>
    <w:r>
      <w:rPr>
        <w:rFonts w:hint="eastAsia"/>
      </w:rPr>
      <w:t>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EABF4">
    <w:pPr>
      <w:pStyle w:val="1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E223D">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B4975">
    <w:pPr>
      <w:pStyle w:val="15"/>
      <w:rPr>
        <w:b/>
        <w:bCs/>
        <w:sz w:val="24"/>
      </w:rPr>
    </w:pPr>
  </w:p>
  <w:p w14:paraId="23EE1640">
    <w:pPr>
      <w:pStyle w:val="15"/>
      <w:rPr>
        <w:sz w:val="24"/>
      </w:rPr>
    </w:pPr>
    <w:r>
      <w:rPr>
        <w:rFonts w:hint="eastAsia" w:ascii="黑体" w:hAnsi="黑体" w:eastAsia="黑体"/>
        <w:b/>
        <w:bCs/>
        <w:sz w:val="21"/>
        <w:szCs w:val="21"/>
      </w:rPr>
      <w:t>JJF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D8ABC">
    <w:pPr>
      <w:pStyle w:val="15"/>
    </w:pPr>
    <w:r>
      <w:rPr>
        <w:rFonts w:hint="eastAsia"/>
      </w:rPr>
      <w:t>JJF XXXX</w:t>
    </w:r>
    <w:r>
      <w:t>-</w:t>
    </w:r>
    <w:r>
      <w:rPr>
        <w:rFonts w:hint="eastAsia"/>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D1D22">
    <w:pPr>
      <w:pStyle w:val="15"/>
      <w:rPr>
        <w:rFonts w:hint="eastAsia" w:ascii="黑体" w:hAnsi="黑体" w:eastAsia="黑体"/>
        <w:sz w:val="21"/>
        <w:szCs w:val="21"/>
      </w:rPr>
    </w:pPr>
    <w:r>
      <w:rPr>
        <w:rFonts w:hint="eastAsia" w:ascii="黑体" w:hAnsi="黑体" w:eastAsia="黑体"/>
        <w:sz w:val="21"/>
        <w:szCs w:val="21"/>
      </w:rPr>
      <w:t>JJF XXXX</w:t>
    </w:r>
    <w:r>
      <w:rPr>
        <w:rFonts w:ascii="黑体" w:hAnsi="黑体" w:eastAsia="黑体"/>
        <w:sz w:val="21"/>
        <w:szCs w:val="21"/>
      </w:rPr>
      <w:t>-</w:t>
    </w:r>
    <w:r>
      <w:rPr>
        <w:rFonts w:hint="eastAsia" w:ascii="黑体" w:hAnsi="黑体" w:eastAsia="黑体"/>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55"/>
      <w:suff w:val="nothing"/>
      <w:lvlText w:val="%1　"/>
      <w:lvlJc w:val="left"/>
      <w:pPr>
        <w:ind w:left="0" w:firstLine="0"/>
      </w:pPr>
      <w:rPr>
        <w:rFonts w:hint="eastAsia" w:ascii="黑体" w:hAnsi="Times New Roman" w:eastAsia="黑体"/>
        <w:b/>
        <w:bCs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251367F"/>
    <w:multiLevelType w:val="multilevel"/>
    <w:tmpl w:val="225136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EAC4765"/>
    <w:multiLevelType w:val="multilevel"/>
    <w:tmpl w:val="2EAC476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91300E5"/>
    <w:multiLevelType w:val="multilevel"/>
    <w:tmpl w:val="591300E5"/>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6C501239"/>
    <w:multiLevelType w:val="multilevel"/>
    <w:tmpl w:val="6C50123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74B21C57"/>
    <w:multiLevelType w:val="multilevel"/>
    <w:tmpl w:val="74B21C57"/>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oNotHyphenateCaps/>
  <w:drawingGridVerticalSpacing w:val="156"/>
  <w:noPunctuationKerning w:val="1"/>
  <w:characterSpacingControl w:val="compressPunctuation"/>
  <w:doNotValidateAgainstSchema/>
  <w:doNotDemarcateInvalidXml/>
  <w:footnotePr>
    <w:numFmt w:val="decimalFullWidth"/>
    <w:numRestart w:val="eachPag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zRkNGIzZTI3NjY2ODY1OTljZGZkMzViNGQ1MjUifQ=="/>
  </w:docVars>
  <w:rsids>
    <w:rsidRoot w:val="00D405D8"/>
    <w:rsid w:val="0000049F"/>
    <w:rsid w:val="000029BC"/>
    <w:rsid w:val="0000336A"/>
    <w:rsid w:val="0000468C"/>
    <w:rsid w:val="00004D99"/>
    <w:rsid w:val="00004DB0"/>
    <w:rsid w:val="00007E8D"/>
    <w:rsid w:val="00011BD9"/>
    <w:rsid w:val="0001259A"/>
    <w:rsid w:val="0001516D"/>
    <w:rsid w:val="0001519C"/>
    <w:rsid w:val="000153C6"/>
    <w:rsid w:val="00020037"/>
    <w:rsid w:val="00020B3B"/>
    <w:rsid w:val="00021405"/>
    <w:rsid w:val="00024155"/>
    <w:rsid w:val="00024570"/>
    <w:rsid w:val="000263B6"/>
    <w:rsid w:val="000304C7"/>
    <w:rsid w:val="00030749"/>
    <w:rsid w:val="00031841"/>
    <w:rsid w:val="00031886"/>
    <w:rsid w:val="00031DD5"/>
    <w:rsid w:val="000325DC"/>
    <w:rsid w:val="000325F8"/>
    <w:rsid w:val="00034421"/>
    <w:rsid w:val="000363CC"/>
    <w:rsid w:val="00036995"/>
    <w:rsid w:val="000414CE"/>
    <w:rsid w:val="000424DB"/>
    <w:rsid w:val="00042B2F"/>
    <w:rsid w:val="00044F47"/>
    <w:rsid w:val="00045B88"/>
    <w:rsid w:val="00047146"/>
    <w:rsid w:val="00047C94"/>
    <w:rsid w:val="00047E44"/>
    <w:rsid w:val="00050D2E"/>
    <w:rsid w:val="0005312F"/>
    <w:rsid w:val="0005505A"/>
    <w:rsid w:val="00055B33"/>
    <w:rsid w:val="00055EE1"/>
    <w:rsid w:val="000569AE"/>
    <w:rsid w:val="00056AF1"/>
    <w:rsid w:val="00056E73"/>
    <w:rsid w:val="000576C6"/>
    <w:rsid w:val="0006290B"/>
    <w:rsid w:val="000654E5"/>
    <w:rsid w:val="00065859"/>
    <w:rsid w:val="000675A8"/>
    <w:rsid w:val="000678E7"/>
    <w:rsid w:val="00067ABF"/>
    <w:rsid w:val="00067FBE"/>
    <w:rsid w:val="000718BE"/>
    <w:rsid w:val="0007397F"/>
    <w:rsid w:val="000739A2"/>
    <w:rsid w:val="00075FDF"/>
    <w:rsid w:val="00076F1D"/>
    <w:rsid w:val="00077085"/>
    <w:rsid w:val="00077782"/>
    <w:rsid w:val="00081EE8"/>
    <w:rsid w:val="000820E2"/>
    <w:rsid w:val="0008280B"/>
    <w:rsid w:val="0008370B"/>
    <w:rsid w:val="00083D0A"/>
    <w:rsid w:val="00085EEC"/>
    <w:rsid w:val="0009004A"/>
    <w:rsid w:val="00090800"/>
    <w:rsid w:val="00090F76"/>
    <w:rsid w:val="00090F88"/>
    <w:rsid w:val="00092546"/>
    <w:rsid w:val="000933E2"/>
    <w:rsid w:val="0009410B"/>
    <w:rsid w:val="00094A6C"/>
    <w:rsid w:val="000962C0"/>
    <w:rsid w:val="00096BFB"/>
    <w:rsid w:val="000A07F8"/>
    <w:rsid w:val="000A10F1"/>
    <w:rsid w:val="000A4A21"/>
    <w:rsid w:val="000A597C"/>
    <w:rsid w:val="000A6D98"/>
    <w:rsid w:val="000B17BE"/>
    <w:rsid w:val="000B1E11"/>
    <w:rsid w:val="000B265F"/>
    <w:rsid w:val="000B2C18"/>
    <w:rsid w:val="000B4684"/>
    <w:rsid w:val="000B4E00"/>
    <w:rsid w:val="000B4E06"/>
    <w:rsid w:val="000B505B"/>
    <w:rsid w:val="000B6735"/>
    <w:rsid w:val="000B695A"/>
    <w:rsid w:val="000B6C05"/>
    <w:rsid w:val="000B787D"/>
    <w:rsid w:val="000C0574"/>
    <w:rsid w:val="000C097B"/>
    <w:rsid w:val="000C0B2B"/>
    <w:rsid w:val="000C133F"/>
    <w:rsid w:val="000C134C"/>
    <w:rsid w:val="000C178D"/>
    <w:rsid w:val="000C1A9C"/>
    <w:rsid w:val="000C2DE4"/>
    <w:rsid w:val="000C3A96"/>
    <w:rsid w:val="000C3E71"/>
    <w:rsid w:val="000C5177"/>
    <w:rsid w:val="000C6415"/>
    <w:rsid w:val="000C69DB"/>
    <w:rsid w:val="000C79D8"/>
    <w:rsid w:val="000D0E7C"/>
    <w:rsid w:val="000D1D9A"/>
    <w:rsid w:val="000D1E2F"/>
    <w:rsid w:val="000D4726"/>
    <w:rsid w:val="000E1E5C"/>
    <w:rsid w:val="000E28E8"/>
    <w:rsid w:val="000E2F81"/>
    <w:rsid w:val="000E2FAD"/>
    <w:rsid w:val="000E6736"/>
    <w:rsid w:val="000E7181"/>
    <w:rsid w:val="000F0F38"/>
    <w:rsid w:val="000F1AB4"/>
    <w:rsid w:val="000F29A1"/>
    <w:rsid w:val="000F3140"/>
    <w:rsid w:val="000F4722"/>
    <w:rsid w:val="000F5C3F"/>
    <w:rsid w:val="000F70F2"/>
    <w:rsid w:val="000F7442"/>
    <w:rsid w:val="00102A6C"/>
    <w:rsid w:val="00103585"/>
    <w:rsid w:val="00105617"/>
    <w:rsid w:val="00110891"/>
    <w:rsid w:val="0011182A"/>
    <w:rsid w:val="0011296C"/>
    <w:rsid w:val="001139A7"/>
    <w:rsid w:val="00116311"/>
    <w:rsid w:val="00117C4D"/>
    <w:rsid w:val="00122D5F"/>
    <w:rsid w:val="0012797D"/>
    <w:rsid w:val="00127A8C"/>
    <w:rsid w:val="00127E00"/>
    <w:rsid w:val="00131E6B"/>
    <w:rsid w:val="001322D1"/>
    <w:rsid w:val="00134007"/>
    <w:rsid w:val="00135BF8"/>
    <w:rsid w:val="00137C58"/>
    <w:rsid w:val="00140F98"/>
    <w:rsid w:val="00141362"/>
    <w:rsid w:val="00143E86"/>
    <w:rsid w:val="00144104"/>
    <w:rsid w:val="001465A2"/>
    <w:rsid w:val="00146D0A"/>
    <w:rsid w:val="00152C19"/>
    <w:rsid w:val="00153CF6"/>
    <w:rsid w:val="00154D3E"/>
    <w:rsid w:val="00155D00"/>
    <w:rsid w:val="0015796B"/>
    <w:rsid w:val="0016223E"/>
    <w:rsid w:val="0016303A"/>
    <w:rsid w:val="001670CC"/>
    <w:rsid w:val="00167EF5"/>
    <w:rsid w:val="001701A0"/>
    <w:rsid w:val="001750F9"/>
    <w:rsid w:val="001759FF"/>
    <w:rsid w:val="0017637E"/>
    <w:rsid w:val="00176FC7"/>
    <w:rsid w:val="0017799D"/>
    <w:rsid w:val="00180F74"/>
    <w:rsid w:val="00181440"/>
    <w:rsid w:val="001826FD"/>
    <w:rsid w:val="001855C8"/>
    <w:rsid w:val="001859F1"/>
    <w:rsid w:val="00185B7A"/>
    <w:rsid w:val="00186293"/>
    <w:rsid w:val="00190592"/>
    <w:rsid w:val="0019092C"/>
    <w:rsid w:val="00193ED3"/>
    <w:rsid w:val="001951EE"/>
    <w:rsid w:val="001A1A04"/>
    <w:rsid w:val="001A3B0B"/>
    <w:rsid w:val="001A4924"/>
    <w:rsid w:val="001A66BC"/>
    <w:rsid w:val="001A68EC"/>
    <w:rsid w:val="001A75CA"/>
    <w:rsid w:val="001B236C"/>
    <w:rsid w:val="001B257B"/>
    <w:rsid w:val="001B3553"/>
    <w:rsid w:val="001B3873"/>
    <w:rsid w:val="001B4C92"/>
    <w:rsid w:val="001B5732"/>
    <w:rsid w:val="001B7714"/>
    <w:rsid w:val="001C27B9"/>
    <w:rsid w:val="001C504A"/>
    <w:rsid w:val="001C5E2C"/>
    <w:rsid w:val="001C6169"/>
    <w:rsid w:val="001C68C2"/>
    <w:rsid w:val="001D02A6"/>
    <w:rsid w:val="001D0FC9"/>
    <w:rsid w:val="001D2367"/>
    <w:rsid w:val="001D23AE"/>
    <w:rsid w:val="001D42F1"/>
    <w:rsid w:val="001D4A06"/>
    <w:rsid w:val="001D6701"/>
    <w:rsid w:val="001D7A1B"/>
    <w:rsid w:val="001E0628"/>
    <w:rsid w:val="001E0EC9"/>
    <w:rsid w:val="001E13DB"/>
    <w:rsid w:val="001E23B0"/>
    <w:rsid w:val="001E287F"/>
    <w:rsid w:val="001E4DB2"/>
    <w:rsid w:val="001E6C82"/>
    <w:rsid w:val="001F0659"/>
    <w:rsid w:val="001F0C34"/>
    <w:rsid w:val="001F1A58"/>
    <w:rsid w:val="001F3FC2"/>
    <w:rsid w:val="001F4F50"/>
    <w:rsid w:val="001F5C08"/>
    <w:rsid w:val="001F630D"/>
    <w:rsid w:val="001F7493"/>
    <w:rsid w:val="001F789A"/>
    <w:rsid w:val="001F7E5B"/>
    <w:rsid w:val="0020123B"/>
    <w:rsid w:val="00201512"/>
    <w:rsid w:val="00207A16"/>
    <w:rsid w:val="002104BA"/>
    <w:rsid w:val="0021162B"/>
    <w:rsid w:val="00212689"/>
    <w:rsid w:val="0021306B"/>
    <w:rsid w:val="002141E8"/>
    <w:rsid w:val="00215C3F"/>
    <w:rsid w:val="00222F46"/>
    <w:rsid w:val="00223293"/>
    <w:rsid w:val="00223555"/>
    <w:rsid w:val="0022466F"/>
    <w:rsid w:val="002256B1"/>
    <w:rsid w:val="00225AB0"/>
    <w:rsid w:val="00225DD4"/>
    <w:rsid w:val="00226F19"/>
    <w:rsid w:val="00226FE3"/>
    <w:rsid w:val="00227625"/>
    <w:rsid w:val="00227E13"/>
    <w:rsid w:val="0023036B"/>
    <w:rsid w:val="00232998"/>
    <w:rsid w:val="00233934"/>
    <w:rsid w:val="00233B86"/>
    <w:rsid w:val="0023482B"/>
    <w:rsid w:val="00234A4D"/>
    <w:rsid w:val="00236FA3"/>
    <w:rsid w:val="00237E8C"/>
    <w:rsid w:val="0024018E"/>
    <w:rsid w:val="0024054E"/>
    <w:rsid w:val="00240C68"/>
    <w:rsid w:val="0024293C"/>
    <w:rsid w:val="00243D48"/>
    <w:rsid w:val="00244792"/>
    <w:rsid w:val="00244AA6"/>
    <w:rsid w:val="00244ED2"/>
    <w:rsid w:val="0024705B"/>
    <w:rsid w:val="00251519"/>
    <w:rsid w:val="002551FE"/>
    <w:rsid w:val="002561B7"/>
    <w:rsid w:val="00257510"/>
    <w:rsid w:val="00257BD8"/>
    <w:rsid w:val="00262330"/>
    <w:rsid w:val="002627C9"/>
    <w:rsid w:val="002643F4"/>
    <w:rsid w:val="00267243"/>
    <w:rsid w:val="00271708"/>
    <w:rsid w:val="00271AE0"/>
    <w:rsid w:val="002735DF"/>
    <w:rsid w:val="0027383D"/>
    <w:rsid w:val="002739A5"/>
    <w:rsid w:val="00274079"/>
    <w:rsid w:val="00274E1C"/>
    <w:rsid w:val="00276B88"/>
    <w:rsid w:val="00277813"/>
    <w:rsid w:val="002779A4"/>
    <w:rsid w:val="002807CD"/>
    <w:rsid w:val="00281327"/>
    <w:rsid w:val="00281439"/>
    <w:rsid w:val="00285EA4"/>
    <w:rsid w:val="00290767"/>
    <w:rsid w:val="002910CE"/>
    <w:rsid w:val="002915F8"/>
    <w:rsid w:val="0029262E"/>
    <w:rsid w:val="002938CD"/>
    <w:rsid w:val="00293D18"/>
    <w:rsid w:val="00294A20"/>
    <w:rsid w:val="00294B8A"/>
    <w:rsid w:val="002951A6"/>
    <w:rsid w:val="00295EE0"/>
    <w:rsid w:val="0029639D"/>
    <w:rsid w:val="002A079E"/>
    <w:rsid w:val="002A1B6F"/>
    <w:rsid w:val="002A28E2"/>
    <w:rsid w:val="002A3058"/>
    <w:rsid w:val="002A4738"/>
    <w:rsid w:val="002A67D5"/>
    <w:rsid w:val="002A6A53"/>
    <w:rsid w:val="002A72B0"/>
    <w:rsid w:val="002A7B84"/>
    <w:rsid w:val="002B4DC6"/>
    <w:rsid w:val="002B5BC0"/>
    <w:rsid w:val="002B6DF9"/>
    <w:rsid w:val="002C0561"/>
    <w:rsid w:val="002C323C"/>
    <w:rsid w:val="002C33B0"/>
    <w:rsid w:val="002C3A82"/>
    <w:rsid w:val="002C4416"/>
    <w:rsid w:val="002C6CE6"/>
    <w:rsid w:val="002C7CC9"/>
    <w:rsid w:val="002D2882"/>
    <w:rsid w:val="002D3071"/>
    <w:rsid w:val="002D3210"/>
    <w:rsid w:val="002D3794"/>
    <w:rsid w:val="002D3BAD"/>
    <w:rsid w:val="002D40F6"/>
    <w:rsid w:val="002D5D33"/>
    <w:rsid w:val="002D6220"/>
    <w:rsid w:val="002E01BC"/>
    <w:rsid w:val="002E13A9"/>
    <w:rsid w:val="002E1804"/>
    <w:rsid w:val="002E3E7E"/>
    <w:rsid w:val="002F0900"/>
    <w:rsid w:val="002F28A2"/>
    <w:rsid w:val="002F313D"/>
    <w:rsid w:val="002F410D"/>
    <w:rsid w:val="002F6268"/>
    <w:rsid w:val="002F62DB"/>
    <w:rsid w:val="002F646D"/>
    <w:rsid w:val="00301E17"/>
    <w:rsid w:val="003034CD"/>
    <w:rsid w:val="00304CAF"/>
    <w:rsid w:val="00305D1C"/>
    <w:rsid w:val="00307EEA"/>
    <w:rsid w:val="0031129E"/>
    <w:rsid w:val="00311835"/>
    <w:rsid w:val="00311AFA"/>
    <w:rsid w:val="00315462"/>
    <w:rsid w:val="0031560E"/>
    <w:rsid w:val="003156D0"/>
    <w:rsid w:val="00315B55"/>
    <w:rsid w:val="00316B1F"/>
    <w:rsid w:val="003215E7"/>
    <w:rsid w:val="0032313F"/>
    <w:rsid w:val="00326496"/>
    <w:rsid w:val="00326948"/>
    <w:rsid w:val="00326E40"/>
    <w:rsid w:val="0032747A"/>
    <w:rsid w:val="00327B1C"/>
    <w:rsid w:val="0033178C"/>
    <w:rsid w:val="00332564"/>
    <w:rsid w:val="00335877"/>
    <w:rsid w:val="00335CFB"/>
    <w:rsid w:val="003403A6"/>
    <w:rsid w:val="00342DCD"/>
    <w:rsid w:val="00343690"/>
    <w:rsid w:val="00344D2E"/>
    <w:rsid w:val="00346002"/>
    <w:rsid w:val="003462A2"/>
    <w:rsid w:val="00351995"/>
    <w:rsid w:val="00352780"/>
    <w:rsid w:val="003543E2"/>
    <w:rsid w:val="00356836"/>
    <w:rsid w:val="00357431"/>
    <w:rsid w:val="003618C8"/>
    <w:rsid w:val="00362988"/>
    <w:rsid w:val="00363D5D"/>
    <w:rsid w:val="00364C66"/>
    <w:rsid w:val="00365CAE"/>
    <w:rsid w:val="003678A9"/>
    <w:rsid w:val="00367E5C"/>
    <w:rsid w:val="00370495"/>
    <w:rsid w:val="003729EA"/>
    <w:rsid w:val="00372A71"/>
    <w:rsid w:val="00374D88"/>
    <w:rsid w:val="0037542D"/>
    <w:rsid w:val="00376A9E"/>
    <w:rsid w:val="0038020B"/>
    <w:rsid w:val="003826AD"/>
    <w:rsid w:val="00382BAE"/>
    <w:rsid w:val="00384394"/>
    <w:rsid w:val="0038768E"/>
    <w:rsid w:val="003925BD"/>
    <w:rsid w:val="0039543F"/>
    <w:rsid w:val="0039584E"/>
    <w:rsid w:val="00395870"/>
    <w:rsid w:val="00395F1A"/>
    <w:rsid w:val="003A01C7"/>
    <w:rsid w:val="003A2605"/>
    <w:rsid w:val="003A4C2F"/>
    <w:rsid w:val="003A5420"/>
    <w:rsid w:val="003B01F3"/>
    <w:rsid w:val="003B0E48"/>
    <w:rsid w:val="003B2939"/>
    <w:rsid w:val="003B4F80"/>
    <w:rsid w:val="003B5256"/>
    <w:rsid w:val="003B587E"/>
    <w:rsid w:val="003B5A61"/>
    <w:rsid w:val="003B6AAB"/>
    <w:rsid w:val="003B712C"/>
    <w:rsid w:val="003C0196"/>
    <w:rsid w:val="003C0894"/>
    <w:rsid w:val="003C1B1C"/>
    <w:rsid w:val="003C2A61"/>
    <w:rsid w:val="003C2D68"/>
    <w:rsid w:val="003C30C5"/>
    <w:rsid w:val="003C66D9"/>
    <w:rsid w:val="003C6C7F"/>
    <w:rsid w:val="003C7597"/>
    <w:rsid w:val="003D0379"/>
    <w:rsid w:val="003D0FD3"/>
    <w:rsid w:val="003D16E9"/>
    <w:rsid w:val="003D21E4"/>
    <w:rsid w:val="003D410F"/>
    <w:rsid w:val="003D7BA2"/>
    <w:rsid w:val="003D7C43"/>
    <w:rsid w:val="003E14C3"/>
    <w:rsid w:val="003E1C7E"/>
    <w:rsid w:val="003E1E72"/>
    <w:rsid w:val="003E20DE"/>
    <w:rsid w:val="003E51E0"/>
    <w:rsid w:val="003E75BF"/>
    <w:rsid w:val="003F0279"/>
    <w:rsid w:val="003F10DE"/>
    <w:rsid w:val="003F2F7A"/>
    <w:rsid w:val="003F4321"/>
    <w:rsid w:val="003F5167"/>
    <w:rsid w:val="003F5529"/>
    <w:rsid w:val="003F5CA5"/>
    <w:rsid w:val="003F6E7E"/>
    <w:rsid w:val="004000F2"/>
    <w:rsid w:val="004020B2"/>
    <w:rsid w:val="00404807"/>
    <w:rsid w:val="00406008"/>
    <w:rsid w:val="00410633"/>
    <w:rsid w:val="00411337"/>
    <w:rsid w:val="004138B9"/>
    <w:rsid w:val="00414964"/>
    <w:rsid w:val="00417690"/>
    <w:rsid w:val="0041781C"/>
    <w:rsid w:val="00420753"/>
    <w:rsid w:val="00422C6B"/>
    <w:rsid w:val="004247AD"/>
    <w:rsid w:val="004251A7"/>
    <w:rsid w:val="0042614C"/>
    <w:rsid w:val="00426299"/>
    <w:rsid w:val="00426420"/>
    <w:rsid w:val="0042738C"/>
    <w:rsid w:val="004273D0"/>
    <w:rsid w:val="00433AC4"/>
    <w:rsid w:val="004347D9"/>
    <w:rsid w:val="00436022"/>
    <w:rsid w:val="00437344"/>
    <w:rsid w:val="004402BC"/>
    <w:rsid w:val="00441DE2"/>
    <w:rsid w:val="0044401A"/>
    <w:rsid w:val="00444500"/>
    <w:rsid w:val="0044537D"/>
    <w:rsid w:val="004460C7"/>
    <w:rsid w:val="00446A93"/>
    <w:rsid w:val="00446F91"/>
    <w:rsid w:val="004516C1"/>
    <w:rsid w:val="00454731"/>
    <w:rsid w:val="0045573A"/>
    <w:rsid w:val="00457A47"/>
    <w:rsid w:val="00460196"/>
    <w:rsid w:val="0046233A"/>
    <w:rsid w:val="00464D97"/>
    <w:rsid w:val="00465DD9"/>
    <w:rsid w:val="00467637"/>
    <w:rsid w:val="004715DB"/>
    <w:rsid w:val="00471E9E"/>
    <w:rsid w:val="00472256"/>
    <w:rsid w:val="004756E2"/>
    <w:rsid w:val="00476170"/>
    <w:rsid w:val="00480CB1"/>
    <w:rsid w:val="00482D3E"/>
    <w:rsid w:val="00484481"/>
    <w:rsid w:val="00485621"/>
    <w:rsid w:val="00486812"/>
    <w:rsid w:val="00491FC1"/>
    <w:rsid w:val="004922D1"/>
    <w:rsid w:val="00493613"/>
    <w:rsid w:val="00493F4F"/>
    <w:rsid w:val="004955BE"/>
    <w:rsid w:val="00495913"/>
    <w:rsid w:val="00495DC6"/>
    <w:rsid w:val="004A274B"/>
    <w:rsid w:val="004A2AC5"/>
    <w:rsid w:val="004A4E6E"/>
    <w:rsid w:val="004A7103"/>
    <w:rsid w:val="004A7DFB"/>
    <w:rsid w:val="004B2F53"/>
    <w:rsid w:val="004B40F6"/>
    <w:rsid w:val="004B438C"/>
    <w:rsid w:val="004B4839"/>
    <w:rsid w:val="004B6476"/>
    <w:rsid w:val="004B675D"/>
    <w:rsid w:val="004C1F4D"/>
    <w:rsid w:val="004C2A4B"/>
    <w:rsid w:val="004C3C62"/>
    <w:rsid w:val="004C3E3E"/>
    <w:rsid w:val="004C4BD1"/>
    <w:rsid w:val="004C6361"/>
    <w:rsid w:val="004C7568"/>
    <w:rsid w:val="004C7CD4"/>
    <w:rsid w:val="004D171C"/>
    <w:rsid w:val="004D2018"/>
    <w:rsid w:val="004D2CA8"/>
    <w:rsid w:val="004D46D6"/>
    <w:rsid w:val="004D609F"/>
    <w:rsid w:val="004D649A"/>
    <w:rsid w:val="004D65DC"/>
    <w:rsid w:val="004D77C6"/>
    <w:rsid w:val="004E039D"/>
    <w:rsid w:val="004E0E28"/>
    <w:rsid w:val="004E1C4B"/>
    <w:rsid w:val="004E2DB2"/>
    <w:rsid w:val="004E2DE3"/>
    <w:rsid w:val="004E3F0A"/>
    <w:rsid w:val="004E4331"/>
    <w:rsid w:val="004E5E33"/>
    <w:rsid w:val="004E60D5"/>
    <w:rsid w:val="004F09FF"/>
    <w:rsid w:val="004F0A14"/>
    <w:rsid w:val="004F0E08"/>
    <w:rsid w:val="004F5C77"/>
    <w:rsid w:val="004F6235"/>
    <w:rsid w:val="004F6C56"/>
    <w:rsid w:val="00501508"/>
    <w:rsid w:val="005015D8"/>
    <w:rsid w:val="0050192B"/>
    <w:rsid w:val="00502FAF"/>
    <w:rsid w:val="005032C8"/>
    <w:rsid w:val="00504190"/>
    <w:rsid w:val="0050432F"/>
    <w:rsid w:val="00504383"/>
    <w:rsid w:val="00505214"/>
    <w:rsid w:val="00505F22"/>
    <w:rsid w:val="00507B30"/>
    <w:rsid w:val="00507E05"/>
    <w:rsid w:val="00510B2F"/>
    <w:rsid w:val="00511EE7"/>
    <w:rsid w:val="00513691"/>
    <w:rsid w:val="00514C1F"/>
    <w:rsid w:val="00517DCA"/>
    <w:rsid w:val="00517DE6"/>
    <w:rsid w:val="00526AD8"/>
    <w:rsid w:val="00527C24"/>
    <w:rsid w:val="0053061A"/>
    <w:rsid w:val="005309FD"/>
    <w:rsid w:val="00531DD6"/>
    <w:rsid w:val="00535508"/>
    <w:rsid w:val="005365D7"/>
    <w:rsid w:val="00541BA0"/>
    <w:rsid w:val="00542FAB"/>
    <w:rsid w:val="0054310D"/>
    <w:rsid w:val="005449D0"/>
    <w:rsid w:val="0054522D"/>
    <w:rsid w:val="00547F6B"/>
    <w:rsid w:val="00550E29"/>
    <w:rsid w:val="00555290"/>
    <w:rsid w:val="00556741"/>
    <w:rsid w:val="00561962"/>
    <w:rsid w:val="00563E02"/>
    <w:rsid w:val="0056453C"/>
    <w:rsid w:val="005653A6"/>
    <w:rsid w:val="005659F6"/>
    <w:rsid w:val="00567FA5"/>
    <w:rsid w:val="005701B3"/>
    <w:rsid w:val="00570413"/>
    <w:rsid w:val="005715D6"/>
    <w:rsid w:val="00576E8B"/>
    <w:rsid w:val="00577173"/>
    <w:rsid w:val="00577E1E"/>
    <w:rsid w:val="00580879"/>
    <w:rsid w:val="00581B39"/>
    <w:rsid w:val="00581BD8"/>
    <w:rsid w:val="00582A08"/>
    <w:rsid w:val="00583806"/>
    <w:rsid w:val="005875E2"/>
    <w:rsid w:val="005876E5"/>
    <w:rsid w:val="00590E73"/>
    <w:rsid w:val="0059567B"/>
    <w:rsid w:val="00596AEE"/>
    <w:rsid w:val="00597875"/>
    <w:rsid w:val="00597947"/>
    <w:rsid w:val="005A0515"/>
    <w:rsid w:val="005A3FBD"/>
    <w:rsid w:val="005A6105"/>
    <w:rsid w:val="005A61B6"/>
    <w:rsid w:val="005A748C"/>
    <w:rsid w:val="005A7A1A"/>
    <w:rsid w:val="005B04C6"/>
    <w:rsid w:val="005B1041"/>
    <w:rsid w:val="005B150E"/>
    <w:rsid w:val="005B1E57"/>
    <w:rsid w:val="005B3CBA"/>
    <w:rsid w:val="005B4EE4"/>
    <w:rsid w:val="005B6B35"/>
    <w:rsid w:val="005B6D29"/>
    <w:rsid w:val="005B7924"/>
    <w:rsid w:val="005C190A"/>
    <w:rsid w:val="005C20E4"/>
    <w:rsid w:val="005C3500"/>
    <w:rsid w:val="005C5047"/>
    <w:rsid w:val="005C6741"/>
    <w:rsid w:val="005D1C75"/>
    <w:rsid w:val="005D22C4"/>
    <w:rsid w:val="005D3C0A"/>
    <w:rsid w:val="005D49F9"/>
    <w:rsid w:val="005D5611"/>
    <w:rsid w:val="005D645F"/>
    <w:rsid w:val="005E04C8"/>
    <w:rsid w:val="005E1385"/>
    <w:rsid w:val="005E189E"/>
    <w:rsid w:val="005E302B"/>
    <w:rsid w:val="005E4004"/>
    <w:rsid w:val="005E6DD1"/>
    <w:rsid w:val="005F2044"/>
    <w:rsid w:val="005F22A1"/>
    <w:rsid w:val="005F2E3A"/>
    <w:rsid w:val="005F2FED"/>
    <w:rsid w:val="005F58CC"/>
    <w:rsid w:val="005F6350"/>
    <w:rsid w:val="005F71AA"/>
    <w:rsid w:val="006008A7"/>
    <w:rsid w:val="00600D04"/>
    <w:rsid w:val="0060136D"/>
    <w:rsid w:val="00602342"/>
    <w:rsid w:val="0060335C"/>
    <w:rsid w:val="00603397"/>
    <w:rsid w:val="00603F6B"/>
    <w:rsid w:val="00604C12"/>
    <w:rsid w:val="00605129"/>
    <w:rsid w:val="0060752B"/>
    <w:rsid w:val="0061186D"/>
    <w:rsid w:val="00612581"/>
    <w:rsid w:val="00616251"/>
    <w:rsid w:val="00617611"/>
    <w:rsid w:val="006179BA"/>
    <w:rsid w:val="00617CA6"/>
    <w:rsid w:val="00621743"/>
    <w:rsid w:val="0062266A"/>
    <w:rsid w:val="006231EF"/>
    <w:rsid w:val="00623536"/>
    <w:rsid w:val="00624E65"/>
    <w:rsid w:val="006256E6"/>
    <w:rsid w:val="00625E44"/>
    <w:rsid w:val="0062662A"/>
    <w:rsid w:val="006268D0"/>
    <w:rsid w:val="00630B15"/>
    <w:rsid w:val="00631BE1"/>
    <w:rsid w:val="0063287C"/>
    <w:rsid w:val="00633BCD"/>
    <w:rsid w:val="006354E0"/>
    <w:rsid w:val="00635C3E"/>
    <w:rsid w:val="00635D6B"/>
    <w:rsid w:val="0064029B"/>
    <w:rsid w:val="00642560"/>
    <w:rsid w:val="006430D1"/>
    <w:rsid w:val="0064388D"/>
    <w:rsid w:val="00643F90"/>
    <w:rsid w:val="00644574"/>
    <w:rsid w:val="0064478C"/>
    <w:rsid w:val="00647810"/>
    <w:rsid w:val="00651145"/>
    <w:rsid w:val="00652390"/>
    <w:rsid w:val="00652C36"/>
    <w:rsid w:val="00652D9B"/>
    <w:rsid w:val="00653290"/>
    <w:rsid w:val="006540E8"/>
    <w:rsid w:val="00654111"/>
    <w:rsid w:val="00655EC0"/>
    <w:rsid w:val="0065626B"/>
    <w:rsid w:val="00656A6E"/>
    <w:rsid w:val="00661822"/>
    <w:rsid w:val="00663B17"/>
    <w:rsid w:val="00664DD6"/>
    <w:rsid w:val="006654CA"/>
    <w:rsid w:val="00665F5E"/>
    <w:rsid w:val="00670A39"/>
    <w:rsid w:val="00673604"/>
    <w:rsid w:val="006754AB"/>
    <w:rsid w:val="00676335"/>
    <w:rsid w:val="00676D60"/>
    <w:rsid w:val="006771FD"/>
    <w:rsid w:val="0068064D"/>
    <w:rsid w:val="00680790"/>
    <w:rsid w:val="00680829"/>
    <w:rsid w:val="0068285D"/>
    <w:rsid w:val="0068337A"/>
    <w:rsid w:val="00683EAF"/>
    <w:rsid w:val="006850C1"/>
    <w:rsid w:val="006853E0"/>
    <w:rsid w:val="00686C86"/>
    <w:rsid w:val="006877FD"/>
    <w:rsid w:val="0069312E"/>
    <w:rsid w:val="0069373E"/>
    <w:rsid w:val="00694498"/>
    <w:rsid w:val="00694D5F"/>
    <w:rsid w:val="006950FC"/>
    <w:rsid w:val="00695E87"/>
    <w:rsid w:val="00696DC6"/>
    <w:rsid w:val="006975D5"/>
    <w:rsid w:val="006A0970"/>
    <w:rsid w:val="006A1ADF"/>
    <w:rsid w:val="006A37DF"/>
    <w:rsid w:val="006A42E8"/>
    <w:rsid w:val="006A6C84"/>
    <w:rsid w:val="006A753B"/>
    <w:rsid w:val="006A794F"/>
    <w:rsid w:val="006A7EF1"/>
    <w:rsid w:val="006B116D"/>
    <w:rsid w:val="006B11EA"/>
    <w:rsid w:val="006B1242"/>
    <w:rsid w:val="006B14A7"/>
    <w:rsid w:val="006B1C46"/>
    <w:rsid w:val="006B1DCF"/>
    <w:rsid w:val="006B3EE1"/>
    <w:rsid w:val="006B6F3D"/>
    <w:rsid w:val="006B769D"/>
    <w:rsid w:val="006C2102"/>
    <w:rsid w:val="006C2798"/>
    <w:rsid w:val="006C27FC"/>
    <w:rsid w:val="006C29E1"/>
    <w:rsid w:val="006C35E0"/>
    <w:rsid w:val="006C3E8C"/>
    <w:rsid w:val="006C439E"/>
    <w:rsid w:val="006C48B4"/>
    <w:rsid w:val="006C5EE5"/>
    <w:rsid w:val="006C5EFA"/>
    <w:rsid w:val="006C67DE"/>
    <w:rsid w:val="006D1E7F"/>
    <w:rsid w:val="006D20F0"/>
    <w:rsid w:val="006D328C"/>
    <w:rsid w:val="006D4D3F"/>
    <w:rsid w:val="006E2B99"/>
    <w:rsid w:val="006E36B0"/>
    <w:rsid w:val="006E419F"/>
    <w:rsid w:val="006E67AC"/>
    <w:rsid w:val="006E6DE7"/>
    <w:rsid w:val="006F4C4C"/>
    <w:rsid w:val="006F63EB"/>
    <w:rsid w:val="006F6A95"/>
    <w:rsid w:val="006F7A5D"/>
    <w:rsid w:val="0070356E"/>
    <w:rsid w:val="00703B91"/>
    <w:rsid w:val="0070447C"/>
    <w:rsid w:val="00705CE7"/>
    <w:rsid w:val="0070610E"/>
    <w:rsid w:val="007061D4"/>
    <w:rsid w:val="007061D7"/>
    <w:rsid w:val="00706847"/>
    <w:rsid w:val="00706A5B"/>
    <w:rsid w:val="00707888"/>
    <w:rsid w:val="00707DF4"/>
    <w:rsid w:val="00710AC8"/>
    <w:rsid w:val="007113EA"/>
    <w:rsid w:val="0071226B"/>
    <w:rsid w:val="00713B52"/>
    <w:rsid w:val="00714435"/>
    <w:rsid w:val="00715082"/>
    <w:rsid w:val="00716372"/>
    <w:rsid w:val="007164B1"/>
    <w:rsid w:val="007204B8"/>
    <w:rsid w:val="007227B5"/>
    <w:rsid w:val="00723451"/>
    <w:rsid w:val="00723E32"/>
    <w:rsid w:val="0072409F"/>
    <w:rsid w:val="0072471D"/>
    <w:rsid w:val="0072710B"/>
    <w:rsid w:val="007275DA"/>
    <w:rsid w:val="0073153D"/>
    <w:rsid w:val="00731672"/>
    <w:rsid w:val="00732A00"/>
    <w:rsid w:val="0073386B"/>
    <w:rsid w:val="007355BF"/>
    <w:rsid w:val="007367C0"/>
    <w:rsid w:val="00742931"/>
    <w:rsid w:val="00742E64"/>
    <w:rsid w:val="00743CE8"/>
    <w:rsid w:val="007477AA"/>
    <w:rsid w:val="0075064A"/>
    <w:rsid w:val="00750A20"/>
    <w:rsid w:val="00750C9C"/>
    <w:rsid w:val="00751C57"/>
    <w:rsid w:val="007526C4"/>
    <w:rsid w:val="007550A8"/>
    <w:rsid w:val="00755C44"/>
    <w:rsid w:val="00756218"/>
    <w:rsid w:val="0075709D"/>
    <w:rsid w:val="0076167B"/>
    <w:rsid w:val="007629BB"/>
    <w:rsid w:val="00762B25"/>
    <w:rsid w:val="00763C0B"/>
    <w:rsid w:val="0076493C"/>
    <w:rsid w:val="00765182"/>
    <w:rsid w:val="00765735"/>
    <w:rsid w:val="00765CF7"/>
    <w:rsid w:val="0076739A"/>
    <w:rsid w:val="00774B91"/>
    <w:rsid w:val="00775ED5"/>
    <w:rsid w:val="0077628A"/>
    <w:rsid w:val="00777F74"/>
    <w:rsid w:val="0078193A"/>
    <w:rsid w:val="0078201C"/>
    <w:rsid w:val="0078413E"/>
    <w:rsid w:val="00784A34"/>
    <w:rsid w:val="0078541B"/>
    <w:rsid w:val="007862AE"/>
    <w:rsid w:val="007866C4"/>
    <w:rsid w:val="007876DF"/>
    <w:rsid w:val="00787948"/>
    <w:rsid w:val="00790BF3"/>
    <w:rsid w:val="00790EF3"/>
    <w:rsid w:val="0079402A"/>
    <w:rsid w:val="007940B1"/>
    <w:rsid w:val="00794102"/>
    <w:rsid w:val="00794837"/>
    <w:rsid w:val="00794F72"/>
    <w:rsid w:val="007953FE"/>
    <w:rsid w:val="007A3078"/>
    <w:rsid w:val="007A34F3"/>
    <w:rsid w:val="007A48B7"/>
    <w:rsid w:val="007A7419"/>
    <w:rsid w:val="007A779B"/>
    <w:rsid w:val="007B093A"/>
    <w:rsid w:val="007B0D04"/>
    <w:rsid w:val="007B0D8E"/>
    <w:rsid w:val="007B102D"/>
    <w:rsid w:val="007B19C7"/>
    <w:rsid w:val="007B28FA"/>
    <w:rsid w:val="007B2960"/>
    <w:rsid w:val="007B2DB2"/>
    <w:rsid w:val="007B413E"/>
    <w:rsid w:val="007B5FAB"/>
    <w:rsid w:val="007B63C2"/>
    <w:rsid w:val="007C1A72"/>
    <w:rsid w:val="007C276C"/>
    <w:rsid w:val="007C42C6"/>
    <w:rsid w:val="007C6C58"/>
    <w:rsid w:val="007D1962"/>
    <w:rsid w:val="007D377D"/>
    <w:rsid w:val="007D494B"/>
    <w:rsid w:val="007D4D31"/>
    <w:rsid w:val="007D67AC"/>
    <w:rsid w:val="007E11DF"/>
    <w:rsid w:val="007E252B"/>
    <w:rsid w:val="007E314D"/>
    <w:rsid w:val="007E4062"/>
    <w:rsid w:val="007E44A4"/>
    <w:rsid w:val="007E5CDB"/>
    <w:rsid w:val="007E780F"/>
    <w:rsid w:val="007F022C"/>
    <w:rsid w:val="007F04B0"/>
    <w:rsid w:val="007F2130"/>
    <w:rsid w:val="007F2BAB"/>
    <w:rsid w:val="007F5A2E"/>
    <w:rsid w:val="007F65EF"/>
    <w:rsid w:val="007F68C3"/>
    <w:rsid w:val="007F7077"/>
    <w:rsid w:val="0080063C"/>
    <w:rsid w:val="0080374F"/>
    <w:rsid w:val="00803849"/>
    <w:rsid w:val="00806556"/>
    <w:rsid w:val="0080765A"/>
    <w:rsid w:val="00807F1C"/>
    <w:rsid w:val="00810440"/>
    <w:rsid w:val="008104E3"/>
    <w:rsid w:val="008105F4"/>
    <w:rsid w:val="0081115C"/>
    <w:rsid w:val="0081149A"/>
    <w:rsid w:val="00811B8B"/>
    <w:rsid w:val="00813317"/>
    <w:rsid w:val="0081482D"/>
    <w:rsid w:val="00815F46"/>
    <w:rsid w:val="00817591"/>
    <w:rsid w:val="0082022C"/>
    <w:rsid w:val="00820839"/>
    <w:rsid w:val="008353ED"/>
    <w:rsid w:val="00835F26"/>
    <w:rsid w:val="00836CB8"/>
    <w:rsid w:val="008405E9"/>
    <w:rsid w:val="0084206A"/>
    <w:rsid w:val="00843DA2"/>
    <w:rsid w:val="00844651"/>
    <w:rsid w:val="00844E4D"/>
    <w:rsid w:val="00846400"/>
    <w:rsid w:val="00846ABD"/>
    <w:rsid w:val="00847094"/>
    <w:rsid w:val="00847B8C"/>
    <w:rsid w:val="00851CE5"/>
    <w:rsid w:val="0085388D"/>
    <w:rsid w:val="008550DE"/>
    <w:rsid w:val="00861EFC"/>
    <w:rsid w:val="00862265"/>
    <w:rsid w:val="00863AE0"/>
    <w:rsid w:val="008657C5"/>
    <w:rsid w:val="008660BF"/>
    <w:rsid w:val="00866737"/>
    <w:rsid w:val="00872BAA"/>
    <w:rsid w:val="00875FF3"/>
    <w:rsid w:val="008768C9"/>
    <w:rsid w:val="00877B52"/>
    <w:rsid w:val="008800CC"/>
    <w:rsid w:val="00881897"/>
    <w:rsid w:val="00882521"/>
    <w:rsid w:val="00883BB8"/>
    <w:rsid w:val="00884FFB"/>
    <w:rsid w:val="00886284"/>
    <w:rsid w:val="0088693C"/>
    <w:rsid w:val="008870EF"/>
    <w:rsid w:val="00892D0A"/>
    <w:rsid w:val="00893932"/>
    <w:rsid w:val="00893E2F"/>
    <w:rsid w:val="008944D0"/>
    <w:rsid w:val="00894583"/>
    <w:rsid w:val="0089506C"/>
    <w:rsid w:val="00896255"/>
    <w:rsid w:val="00896D32"/>
    <w:rsid w:val="008A1217"/>
    <w:rsid w:val="008A339B"/>
    <w:rsid w:val="008A3B4C"/>
    <w:rsid w:val="008A3E56"/>
    <w:rsid w:val="008A6F74"/>
    <w:rsid w:val="008A7343"/>
    <w:rsid w:val="008A7CCC"/>
    <w:rsid w:val="008B0368"/>
    <w:rsid w:val="008B0C1A"/>
    <w:rsid w:val="008B45D1"/>
    <w:rsid w:val="008B655D"/>
    <w:rsid w:val="008C0894"/>
    <w:rsid w:val="008C1750"/>
    <w:rsid w:val="008C3079"/>
    <w:rsid w:val="008C313F"/>
    <w:rsid w:val="008C36EB"/>
    <w:rsid w:val="008C442A"/>
    <w:rsid w:val="008C4860"/>
    <w:rsid w:val="008C534D"/>
    <w:rsid w:val="008C5D32"/>
    <w:rsid w:val="008C6392"/>
    <w:rsid w:val="008D0DED"/>
    <w:rsid w:val="008D1C91"/>
    <w:rsid w:val="008D1E05"/>
    <w:rsid w:val="008D28C0"/>
    <w:rsid w:val="008D3551"/>
    <w:rsid w:val="008D4039"/>
    <w:rsid w:val="008D4908"/>
    <w:rsid w:val="008D639A"/>
    <w:rsid w:val="008D6447"/>
    <w:rsid w:val="008D64D0"/>
    <w:rsid w:val="008E056F"/>
    <w:rsid w:val="008E406A"/>
    <w:rsid w:val="008E4621"/>
    <w:rsid w:val="008E6B88"/>
    <w:rsid w:val="008F07E2"/>
    <w:rsid w:val="008F3CAE"/>
    <w:rsid w:val="008F4240"/>
    <w:rsid w:val="008F7513"/>
    <w:rsid w:val="00901349"/>
    <w:rsid w:val="00903743"/>
    <w:rsid w:val="009038E3"/>
    <w:rsid w:val="00905BC2"/>
    <w:rsid w:val="00906E17"/>
    <w:rsid w:val="00907A4B"/>
    <w:rsid w:val="00912106"/>
    <w:rsid w:val="00913914"/>
    <w:rsid w:val="009139B2"/>
    <w:rsid w:val="00913E39"/>
    <w:rsid w:val="00914680"/>
    <w:rsid w:val="00914FB7"/>
    <w:rsid w:val="009152C4"/>
    <w:rsid w:val="00916D09"/>
    <w:rsid w:val="00920DD5"/>
    <w:rsid w:val="009238C8"/>
    <w:rsid w:val="009258BE"/>
    <w:rsid w:val="00930A1B"/>
    <w:rsid w:val="009310BE"/>
    <w:rsid w:val="00932496"/>
    <w:rsid w:val="009325FB"/>
    <w:rsid w:val="00932F24"/>
    <w:rsid w:val="009332BA"/>
    <w:rsid w:val="0093387A"/>
    <w:rsid w:val="009359A5"/>
    <w:rsid w:val="00937344"/>
    <w:rsid w:val="00940565"/>
    <w:rsid w:val="00940570"/>
    <w:rsid w:val="00940716"/>
    <w:rsid w:val="00941B3A"/>
    <w:rsid w:val="00943926"/>
    <w:rsid w:val="00943A0B"/>
    <w:rsid w:val="0094407A"/>
    <w:rsid w:val="00944B78"/>
    <w:rsid w:val="009457AD"/>
    <w:rsid w:val="009461FD"/>
    <w:rsid w:val="00946CD6"/>
    <w:rsid w:val="00947062"/>
    <w:rsid w:val="00947546"/>
    <w:rsid w:val="00950135"/>
    <w:rsid w:val="009506D9"/>
    <w:rsid w:val="0095296C"/>
    <w:rsid w:val="009547B5"/>
    <w:rsid w:val="00954C3F"/>
    <w:rsid w:val="009551D2"/>
    <w:rsid w:val="00956398"/>
    <w:rsid w:val="00963A26"/>
    <w:rsid w:val="009664FC"/>
    <w:rsid w:val="009676FF"/>
    <w:rsid w:val="0096795B"/>
    <w:rsid w:val="00971479"/>
    <w:rsid w:val="00971E23"/>
    <w:rsid w:val="0097224D"/>
    <w:rsid w:val="00973731"/>
    <w:rsid w:val="0097692A"/>
    <w:rsid w:val="0097707B"/>
    <w:rsid w:val="009770C3"/>
    <w:rsid w:val="00977FF5"/>
    <w:rsid w:val="0098035F"/>
    <w:rsid w:val="009821A3"/>
    <w:rsid w:val="0098301F"/>
    <w:rsid w:val="00983B47"/>
    <w:rsid w:val="00985F02"/>
    <w:rsid w:val="0098605A"/>
    <w:rsid w:val="00987344"/>
    <w:rsid w:val="00987DE2"/>
    <w:rsid w:val="009907A4"/>
    <w:rsid w:val="0099106B"/>
    <w:rsid w:val="009917BD"/>
    <w:rsid w:val="009925E4"/>
    <w:rsid w:val="00994048"/>
    <w:rsid w:val="009952DE"/>
    <w:rsid w:val="0099592F"/>
    <w:rsid w:val="00995BEB"/>
    <w:rsid w:val="00996370"/>
    <w:rsid w:val="009A0AEB"/>
    <w:rsid w:val="009A2101"/>
    <w:rsid w:val="009A4AE3"/>
    <w:rsid w:val="009A4E93"/>
    <w:rsid w:val="009A5716"/>
    <w:rsid w:val="009B0712"/>
    <w:rsid w:val="009B16AB"/>
    <w:rsid w:val="009B24BF"/>
    <w:rsid w:val="009B3DAE"/>
    <w:rsid w:val="009B3E06"/>
    <w:rsid w:val="009B4CC8"/>
    <w:rsid w:val="009B56C5"/>
    <w:rsid w:val="009B5E72"/>
    <w:rsid w:val="009B646C"/>
    <w:rsid w:val="009B65EF"/>
    <w:rsid w:val="009C0974"/>
    <w:rsid w:val="009C17F2"/>
    <w:rsid w:val="009C1AEE"/>
    <w:rsid w:val="009C46C0"/>
    <w:rsid w:val="009C5241"/>
    <w:rsid w:val="009C59B4"/>
    <w:rsid w:val="009C7A11"/>
    <w:rsid w:val="009C7D47"/>
    <w:rsid w:val="009D0F46"/>
    <w:rsid w:val="009D42AE"/>
    <w:rsid w:val="009D448E"/>
    <w:rsid w:val="009D533F"/>
    <w:rsid w:val="009D76CB"/>
    <w:rsid w:val="009D7FB3"/>
    <w:rsid w:val="009E084C"/>
    <w:rsid w:val="009E21D5"/>
    <w:rsid w:val="009E2250"/>
    <w:rsid w:val="009E4118"/>
    <w:rsid w:val="009E5013"/>
    <w:rsid w:val="009E5767"/>
    <w:rsid w:val="009F179A"/>
    <w:rsid w:val="009F585C"/>
    <w:rsid w:val="009F6894"/>
    <w:rsid w:val="009F7A26"/>
    <w:rsid w:val="00A00F6B"/>
    <w:rsid w:val="00A029B5"/>
    <w:rsid w:val="00A03581"/>
    <w:rsid w:val="00A03A02"/>
    <w:rsid w:val="00A03B51"/>
    <w:rsid w:val="00A05BA5"/>
    <w:rsid w:val="00A07B6E"/>
    <w:rsid w:val="00A10CFC"/>
    <w:rsid w:val="00A10D2C"/>
    <w:rsid w:val="00A167F7"/>
    <w:rsid w:val="00A16CF4"/>
    <w:rsid w:val="00A173FF"/>
    <w:rsid w:val="00A20CD4"/>
    <w:rsid w:val="00A212C6"/>
    <w:rsid w:val="00A21583"/>
    <w:rsid w:val="00A2483B"/>
    <w:rsid w:val="00A2526E"/>
    <w:rsid w:val="00A270E2"/>
    <w:rsid w:val="00A2757E"/>
    <w:rsid w:val="00A30509"/>
    <w:rsid w:val="00A30B8C"/>
    <w:rsid w:val="00A31668"/>
    <w:rsid w:val="00A31E98"/>
    <w:rsid w:val="00A36851"/>
    <w:rsid w:val="00A40E1A"/>
    <w:rsid w:val="00A428E2"/>
    <w:rsid w:val="00A43B8D"/>
    <w:rsid w:val="00A43D1C"/>
    <w:rsid w:val="00A4446D"/>
    <w:rsid w:val="00A46069"/>
    <w:rsid w:val="00A461C9"/>
    <w:rsid w:val="00A46460"/>
    <w:rsid w:val="00A4663B"/>
    <w:rsid w:val="00A47C3E"/>
    <w:rsid w:val="00A47C5E"/>
    <w:rsid w:val="00A500B8"/>
    <w:rsid w:val="00A522D8"/>
    <w:rsid w:val="00A5347E"/>
    <w:rsid w:val="00A5538B"/>
    <w:rsid w:val="00A55A01"/>
    <w:rsid w:val="00A56BFD"/>
    <w:rsid w:val="00A629EF"/>
    <w:rsid w:val="00A62E03"/>
    <w:rsid w:val="00A649F9"/>
    <w:rsid w:val="00A70668"/>
    <w:rsid w:val="00A72617"/>
    <w:rsid w:val="00A73462"/>
    <w:rsid w:val="00A74721"/>
    <w:rsid w:val="00A747D7"/>
    <w:rsid w:val="00A757DA"/>
    <w:rsid w:val="00A75C7A"/>
    <w:rsid w:val="00A77FA9"/>
    <w:rsid w:val="00A8036A"/>
    <w:rsid w:val="00A804A0"/>
    <w:rsid w:val="00A825A9"/>
    <w:rsid w:val="00A82CC4"/>
    <w:rsid w:val="00A841F7"/>
    <w:rsid w:val="00A84BDF"/>
    <w:rsid w:val="00A8580E"/>
    <w:rsid w:val="00A86749"/>
    <w:rsid w:val="00A91D2D"/>
    <w:rsid w:val="00A92E17"/>
    <w:rsid w:val="00A93166"/>
    <w:rsid w:val="00A95147"/>
    <w:rsid w:val="00A95377"/>
    <w:rsid w:val="00A95FF8"/>
    <w:rsid w:val="00A97791"/>
    <w:rsid w:val="00A97C1B"/>
    <w:rsid w:val="00AA06C7"/>
    <w:rsid w:val="00AA26AC"/>
    <w:rsid w:val="00AA390C"/>
    <w:rsid w:val="00AA40A3"/>
    <w:rsid w:val="00AA49E9"/>
    <w:rsid w:val="00AA64CF"/>
    <w:rsid w:val="00AA6E91"/>
    <w:rsid w:val="00AA7320"/>
    <w:rsid w:val="00AA7609"/>
    <w:rsid w:val="00AB06CC"/>
    <w:rsid w:val="00AB1593"/>
    <w:rsid w:val="00AB3CEA"/>
    <w:rsid w:val="00AB457C"/>
    <w:rsid w:val="00AB48F8"/>
    <w:rsid w:val="00AB5924"/>
    <w:rsid w:val="00AB6367"/>
    <w:rsid w:val="00AB66AE"/>
    <w:rsid w:val="00AB6DD9"/>
    <w:rsid w:val="00AB7AE9"/>
    <w:rsid w:val="00AC039D"/>
    <w:rsid w:val="00AC080A"/>
    <w:rsid w:val="00AC0868"/>
    <w:rsid w:val="00AC223B"/>
    <w:rsid w:val="00AC4202"/>
    <w:rsid w:val="00AC4ED0"/>
    <w:rsid w:val="00AC5734"/>
    <w:rsid w:val="00AC57F7"/>
    <w:rsid w:val="00AC6969"/>
    <w:rsid w:val="00AD20DE"/>
    <w:rsid w:val="00AD4785"/>
    <w:rsid w:val="00AD6115"/>
    <w:rsid w:val="00AD66A7"/>
    <w:rsid w:val="00AD6EF0"/>
    <w:rsid w:val="00AE0351"/>
    <w:rsid w:val="00AE1360"/>
    <w:rsid w:val="00AE191C"/>
    <w:rsid w:val="00AE2206"/>
    <w:rsid w:val="00AE2C85"/>
    <w:rsid w:val="00AE2E8A"/>
    <w:rsid w:val="00AE3651"/>
    <w:rsid w:val="00AE6099"/>
    <w:rsid w:val="00AE6317"/>
    <w:rsid w:val="00AE70DF"/>
    <w:rsid w:val="00AE746C"/>
    <w:rsid w:val="00AF34D8"/>
    <w:rsid w:val="00AF4DF5"/>
    <w:rsid w:val="00AF4E39"/>
    <w:rsid w:val="00AF50F7"/>
    <w:rsid w:val="00AF57D8"/>
    <w:rsid w:val="00AF586B"/>
    <w:rsid w:val="00AF6103"/>
    <w:rsid w:val="00AF62A2"/>
    <w:rsid w:val="00B00155"/>
    <w:rsid w:val="00B023B4"/>
    <w:rsid w:val="00B035E5"/>
    <w:rsid w:val="00B035F2"/>
    <w:rsid w:val="00B04750"/>
    <w:rsid w:val="00B06CC6"/>
    <w:rsid w:val="00B06DE1"/>
    <w:rsid w:val="00B0797E"/>
    <w:rsid w:val="00B106DD"/>
    <w:rsid w:val="00B12112"/>
    <w:rsid w:val="00B12D06"/>
    <w:rsid w:val="00B1395A"/>
    <w:rsid w:val="00B14C33"/>
    <w:rsid w:val="00B14E19"/>
    <w:rsid w:val="00B1645A"/>
    <w:rsid w:val="00B169FA"/>
    <w:rsid w:val="00B17273"/>
    <w:rsid w:val="00B2052E"/>
    <w:rsid w:val="00B2108D"/>
    <w:rsid w:val="00B22469"/>
    <w:rsid w:val="00B235E1"/>
    <w:rsid w:val="00B23E2A"/>
    <w:rsid w:val="00B24C8C"/>
    <w:rsid w:val="00B3235D"/>
    <w:rsid w:val="00B335F6"/>
    <w:rsid w:val="00B347ED"/>
    <w:rsid w:val="00B35834"/>
    <w:rsid w:val="00B36797"/>
    <w:rsid w:val="00B368FE"/>
    <w:rsid w:val="00B40113"/>
    <w:rsid w:val="00B45226"/>
    <w:rsid w:val="00B46200"/>
    <w:rsid w:val="00B51E4F"/>
    <w:rsid w:val="00B520F1"/>
    <w:rsid w:val="00B53B2C"/>
    <w:rsid w:val="00B53E4C"/>
    <w:rsid w:val="00B54D03"/>
    <w:rsid w:val="00B55B08"/>
    <w:rsid w:val="00B55C86"/>
    <w:rsid w:val="00B56550"/>
    <w:rsid w:val="00B566C4"/>
    <w:rsid w:val="00B57A89"/>
    <w:rsid w:val="00B57B91"/>
    <w:rsid w:val="00B6208B"/>
    <w:rsid w:val="00B629F3"/>
    <w:rsid w:val="00B63190"/>
    <w:rsid w:val="00B63A6A"/>
    <w:rsid w:val="00B64A4F"/>
    <w:rsid w:val="00B65426"/>
    <w:rsid w:val="00B67C86"/>
    <w:rsid w:val="00B72278"/>
    <w:rsid w:val="00B7251F"/>
    <w:rsid w:val="00B74B35"/>
    <w:rsid w:val="00B74B7E"/>
    <w:rsid w:val="00B75746"/>
    <w:rsid w:val="00B75FC8"/>
    <w:rsid w:val="00B80107"/>
    <w:rsid w:val="00B80442"/>
    <w:rsid w:val="00B83C0F"/>
    <w:rsid w:val="00B84299"/>
    <w:rsid w:val="00B84853"/>
    <w:rsid w:val="00B84C3A"/>
    <w:rsid w:val="00B84EAC"/>
    <w:rsid w:val="00B876F6"/>
    <w:rsid w:val="00B91478"/>
    <w:rsid w:val="00B92001"/>
    <w:rsid w:val="00B9206A"/>
    <w:rsid w:val="00B968CB"/>
    <w:rsid w:val="00B96C77"/>
    <w:rsid w:val="00B9751D"/>
    <w:rsid w:val="00BA17D9"/>
    <w:rsid w:val="00BA2899"/>
    <w:rsid w:val="00BA483C"/>
    <w:rsid w:val="00BA4B34"/>
    <w:rsid w:val="00BA5BEA"/>
    <w:rsid w:val="00BA601B"/>
    <w:rsid w:val="00BA6C43"/>
    <w:rsid w:val="00BA7A1A"/>
    <w:rsid w:val="00BA7F5C"/>
    <w:rsid w:val="00BB06DE"/>
    <w:rsid w:val="00BB0DEF"/>
    <w:rsid w:val="00BB156E"/>
    <w:rsid w:val="00BB1DFD"/>
    <w:rsid w:val="00BB1F8D"/>
    <w:rsid w:val="00BB3ED2"/>
    <w:rsid w:val="00BB5114"/>
    <w:rsid w:val="00BB6A18"/>
    <w:rsid w:val="00BB6E20"/>
    <w:rsid w:val="00BB76E8"/>
    <w:rsid w:val="00BC0FCF"/>
    <w:rsid w:val="00BC2F77"/>
    <w:rsid w:val="00BC3729"/>
    <w:rsid w:val="00BC7130"/>
    <w:rsid w:val="00BC72E9"/>
    <w:rsid w:val="00BD0A5F"/>
    <w:rsid w:val="00BD17BD"/>
    <w:rsid w:val="00BD2958"/>
    <w:rsid w:val="00BD29C4"/>
    <w:rsid w:val="00BD2EFD"/>
    <w:rsid w:val="00BD615B"/>
    <w:rsid w:val="00BD616E"/>
    <w:rsid w:val="00BE00AC"/>
    <w:rsid w:val="00BE0464"/>
    <w:rsid w:val="00BE0626"/>
    <w:rsid w:val="00BE0BDD"/>
    <w:rsid w:val="00BE1149"/>
    <w:rsid w:val="00BE1675"/>
    <w:rsid w:val="00BE1C0C"/>
    <w:rsid w:val="00BE2D7E"/>
    <w:rsid w:val="00BE5602"/>
    <w:rsid w:val="00BE71CE"/>
    <w:rsid w:val="00BF02CE"/>
    <w:rsid w:val="00BF2269"/>
    <w:rsid w:val="00BF3BEA"/>
    <w:rsid w:val="00BF5491"/>
    <w:rsid w:val="00BF6440"/>
    <w:rsid w:val="00C00848"/>
    <w:rsid w:val="00C00B4D"/>
    <w:rsid w:val="00C00FE9"/>
    <w:rsid w:val="00C02647"/>
    <w:rsid w:val="00C03248"/>
    <w:rsid w:val="00C0515D"/>
    <w:rsid w:val="00C055AC"/>
    <w:rsid w:val="00C05ED9"/>
    <w:rsid w:val="00C0612C"/>
    <w:rsid w:val="00C06754"/>
    <w:rsid w:val="00C104B8"/>
    <w:rsid w:val="00C11745"/>
    <w:rsid w:val="00C12C31"/>
    <w:rsid w:val="00C16D2C"/>
    <w:rsid w:val="00C21DD9"/>
    <w:rsid w:val="00C224FB"/>
    <w:rsid w:val="00C2272A"/>
    <w:rsid w:val="00C23577"/>
    <w:rsid w:val="00C23A8D"/>
    <w:rsid w:val="00C3055C"/>
    <w:rsid w:val="00C307EA"/>
    <w:rsid w:val="00C314FD"/>
    <w:rsid w:val="00C3230C"/>
    <w:rsid w:val="00C3649C"/>
    <w:rsid w:val="00C36B64"/>
    <w:rsid w:val="00C41C49"/>
    <w:rsid w:val="00C42B44"/>
    <w:rsid w:val="00C42F5D"/>
    <w:rsid w:val="00C43579"/>
    <w:rsid w:val="00C43878"/>
    <w:rsid w:val="00C43EFD"/>
    <w:rsid w:val="00C44B07"/>
    <w:rsid w:val="00C45066"/>
    <w:rsid w:val="00C45232"/>
    <w:rsid w:val="00C45A97"/>
    <w:rsid w:val="00C45DFC"/>
    <w:rsid w:val="00C502C0"/>
    <w:rsid w:val="00C510DE"/>
    <w:rsid w:val="00C51F93"/>
    <w:rsid w:val="00C53DD1"/>
    <w:rsid w:val="00C5453E"/>
    <w:rsid w:val="00C557FF"/>
    <w:rsid w:val="00C56EDB"/>
    <w:rsid w:val="00C5762A"/>
    <w:rsid w:val="00C61649"/>
    <w:rsid w:val="00C654D3"/>
    <w:rsid w:val="00C672A2"/>
    <w:rsid w:val="00C675F4"/>
    <w:rsid w:val="00C72A8B"/>
    <w:rsid w:val="00C72E72"/>
    <w:rsid w:val="00C74BAE"/>
    <w:rsid w:val="00C7533E"/>
    <w:rsid w:val="00C75C9C"/>
    <w:rsid w:val="00C779B7"/>
    <w:rsid w:val="00C82A3D"/>
    <w:rsid w:val="00C83936"/>
    <w:rsid w:val="00C8426F"/>
    <w:rsid w:val="00C84EF4"/>
    <w:rsid w:val="00C91A3B"/>
    <w:rsid w:val="00C91CFE"/>
    <w:rsid w:val="00C93DBD"/>
    <w:rsid w:val="00C953B3"/>
    <w:rsid w:val="00C97F8F"/>
    <w:rsid w:val="00CA0EEC"/>
    <w:rsid w:val="00CA1C24"/>
    <w:rsid w:val="00CA1F81"/>
    <w:rsid w:val="00CA3963"/>
    <w:rsid w:val="00CB13F5"/>
    <w:rsid w:val="00CB1B8A"/>
    <w:rsid w:val="00CB4EC4"/>
    <w:rsid w:val="00CB50C1"/>
    <w:rsid w:val="00CB6ED5"/>
    <w:rsid w:val="00CC0021"/>
    <w:rsid w:val="00CC03C8"/>
    <w:rsid w:val="00CC2FCC"/>
    <w:rsid w:val="00CC6360"/>
    <w:rsid w:val="00CD0ED4"/>
    <w:rsid w:val="00CD1725"/>
    <w:rsid w:val="00CD257D"/>
    <w:rsid w:val="00CD4B74"/>
    <w:rsid w:val="00CD61CC"/>
    <w:rsid w:val="00CD6630"/>
    <w:rsid w:val="00CE0881"/>
    <w:rsid w:val="00CE0C86"/>
    <w:rsid w:val="00CE1081"/>
    <w:rsid w:val="00CE1589"/>
    <w:rsid w:val="00CE3EBF"/>
    <w:rsid w:val="00CE435E"/>
    <w:rsid w:val="00CE6383"/>
    <w:rsid w:val="00CE67D0"/>
    <w:rsid w:val="00CE7749"/>
    <w:rsid w:val="00CF269F"/>
    <w:rsid w:val="00CF26B6"/>
    <w:rsid w:val="00CF46E4"/>
    <w:rsid w:val="00CF4827"/>
    <w:rsid w:val="00CF5CB5"/>
    <w:rsid w:val="00CF643C"/>
    <w:rsid w:val="00D0032E"/>
    <w:rsid w:val="00D022FF"/>
    <w:rsid w:val="00D0292D"/>
    <w:rsid w:val="00D039C9"/>
    <w:rsid w:val="00D043A3"/>
    <w:rsid w:val="00D048F0"/>
    <w:rsid w:val="00D0568F"/>
    <w:rsid w:val="00D05A8F"/>
    <w:rsid w:val="00D07A05"/>
    <w:rsid w:val="00D07A75"/>
    <w:rsid w:val="00D1010C"/>
    <w:rsid w:val="00D111C3"/>
    <w:rsid w:val="00D1196E"/>
    <w:rsid w:val="00D12987"/>
    <w:rsid w:val="00D13CFB"/>
    <w:rsid w:val="00D16FBF"/>
    <w:rsid w:val="00D2095D"/>
    <w:rsid w:val="00D20E13"/>
    <w:rsid w:val="00D21180"/>
    <w:rsid w:val="00D234FF"/>
    <w:rsid w:val="00D240C5"/>
    <w:rsid w:val="00D25DF1"/>
    <w:rsid w:val="00D270AB"/>
    <w:rsid w:val="00D277C9"/>
    <w:rsid w:val="00D27EDB"/>
    <w:rsid w:val="00D304D8"/>
    <w:rsid w:val="00D308E3"/>
    <w:rsid w:val="00D3267E"/>
    <w:rsid w:val="00D33051"/>
    <w:rsid w:val="00D34A19"/>
    <w:rsid w:val="00D360AC"/>
    <w:rsid w:val="00D36F9A"/>
    <w:rsid w:val="00D405D8"/>
    <w:rsid w:val="00D41842"/>
    <w:rsid w:val="00D429DC"/>
    <w:rsid w:val="00D43205"/>
    <w:rsid w:val="00D43315"/>
    <w:rsid w:val="00D43FF9"/>
    <w:rsid w:val="00D44509"/>
    <w:rsid w:val="00D472D2"/>
    <w:rsid w:val="00D475D3"/>
    <w:rsid w:val="00D478E9"/>
    <w:rsid w:val="00D50649"/>
    <w:rsid w:val="00D515E7"/>
    <w:rsid w:val="00D5187D"/>
    <w:rsid w:val="00D5348E"/>
    <w:rsid w:val="00D60DF4"/>
    <w:rsid w:val="00D61D3A"/>
    <w:rsid w:val="00D62140"/>
    <w:rsid w:val="00D62931"/>
    <w:rsid w:val="00D62ECA"/>
    <w:rsid w:val="00D65D00"/>
    <w:rsid w:val="00D65EC2"/>
    <w:rsid w:val="00D723CA"/>
    <w:rsid w:val="00D736CA"/>
    <w:rsid w:val="00D74880"/>
    <w:rsid w:val="00D76FE5"/>
    <w:rsid w:val="00D777C4"/>
    <w:rsid w:val="00D81635"/>
    <w:rsid w:val="00D81715"/>
    <w:rsid w:val="00D81E19"/>
    <w:rsid w:val="00D844AB"/>
    <w:rsid w:val="00D84C5A"/>
    <w:rsid w:val="00D86215"/>
    <w:rsid w:val="00D9188F"/>
    <w:rsid w:val="00D91D77"/>
    <w:rsid w:val="00D932D5"/>
    <w:rsid w:val="00D94BE9"/>
    <w:rsid w:val="00D955DF"/>
    <w:rsid w:val="00D9565D"/>
    <w:rsid w:val="00D95771"/>
    <w:rsid w:val="00D9600D"/>
    <w:rsid w:val="00D96703"/>
    <w:rsid w:val="00D970A5"/>
    <w:rsid w:val="00DA1210"/>
    <w:rsid w:val="00DA3314"/>
    <w:rsid w:val="00DA3793"/>
    <w:rsid w:val="00DA39F9"/>
    <w:rsid w:val="00DA5004"/>
    <w:rsid w:val="00DA50E6"/>
    <w:rsid w:val="00DA5B9F"/>
    <w:rsid w:val="00DA7656"/>
    <w:rsid w:val="00DB094D"/>
    <w:rsid w:val="00DB2447"/>
    <w:rsid w:val="00DB3E5B"/>
    <w:rsid w:val="00DB57DB"/>
    <w:rsid w:val="00DB67F7"/>
    <w:rsid w:val="00DB6BC9"/>
    <w:rsid w:val="00DC1548"/>
    <w:rsid w:val="00DC1B11"/>
    <w:rsid w:val="00DC4E87"/>
    <w:rsid w:val="00DD006D"/>
    <w:rsid w:val="00DD45DA"/>
    <w:rsid w:val="00DD4A2D"/>
    <w:rsid w:val="00DD55A9"/>
    <w:rsid w:val="00DD5A1B"/>
    <w:rsid w:val="00DD5AB0"/>
    <w:rsid w:val="00DD6C65"/>
    <w:rsid w:val="00DD6D55"/>
    <w:rsid w:val="00DD6DCD"/>
    <w:rsid w:val="00DE416F"/>
    <w:rsid w:val="00DE44A6"/>
    <w:rsid w:val="00DE7FBB"/>
    <w:rsid w:val="00DF1654"/>
    <w:rsid w:val="00DF2AF2"/>
    <w:rsid w:val="00DF3807"/>
    <w:rsid w:val="00DF6AA8"/>
    <w:rsid w:val="00E00D5B"/>
    <w:rsid w:val="00E00E98"/>
    <w:rsid w:val="00E01EB1"/>
    <w:rsid w:val="00E02540"/>
    <w:rsid w:val="00E025FD"/>
    <w:rsid w:val="00E03806"/>
    <w:rsid w:val="00E06020"/>
    <w:rsid w:val="00E06C54"/>
    <w:rsid w:val="00E10D5B"/>
    <w:rsid w:val="00E12764"/>
    <w:rsid w:val="00E21C95"/>
    <w:rsid w:val="00E23182"/>
    <w:rsid w:val="00E238B4"/>
    <w:rsid w:val="00E23C8D"/>
    <w:rsid w:val="00E24272"/>
    <w:rsid w:val="00E251B4"/>
    <w:rsid w:val="00E252EE"/>
    <w:rsid w:val="00E2628B"/>
    <w:rsid w:val="00E265F3"/>
    <w:rsid w:val="00E32D77"/>
    <w:rsid w:val="00E33AC6"/>
    <w:rsid w:val="00E3650C"/>
    <w:rsid w:val="00E36DBD"/>
    <w:rsid w:val="00E408DD"/>
    <w:rsid w:val="00E40E7B"/>
    <w:rsid w:val="00E46136"/>
    <w:rsid w:val="00E473C6"/>
    <w:rsid w:val="00E50594"/>
    <w:rsid w:val="00E51359"/>
    <w:rsid w:val="00E521B7"/>
    <w:rsid w:val="00E54044"/>
    <w:rsid w:val="00E57562"/>
    <w:rsid w:val="00E577ED"/>
    <w:rsid w:val="00E600B9"/>
    <w:rsid w:val="00E648D8"/>
    <w:rsid w:val="00E663DC"/>
    <w:rsid w:val="00E6664E"/>
    <w:rsid w:val="00E67F0C"/>
    <w:rsid w:val="00E700B2"/>
    <w:rsid w:val="00E71B23"/>
    <w:rsid w:val="00E71E80"/>
    <w:rsid w:val="00E73576"/>
    <w:rsid w:val="00E76862"/>
    <w:rsid w:val="00E77073"/>
    <w:rsid w:val="00E77195"/>
    <w:rsid w:val="00E77484"/>
    <w:rsid w:val="00E80887"/>
    <w:rsid w:val="00E82FFE"/>
    <w:rsid w:val="00E83227"/>
    <w:rsid w:val="00E83F70"/>
    <w:rsid w:val="00E863D5"/>
    <w:rsid w:val="00E910C5"/>
    <w:rsid w:val="00E95761"/>
    <w:rsid w:val="00E96D8B"/>
    <w:rsid w:val="00EA029E"/>
    <w:rsid w:val="00EA1A9E"/>
    <w:rsid w:val="00EA29B3"/>
    <w:rsid w:val="00EA4619"/>
    <w:rsid w:val="00EA6260"/>
    <w:rsid w:val="00EA6767"/>
    <w:rsid w:val="00EA6FFB"/>
    <w:rsid w:val="00EA7616"/>
    <w:rsid w:val="00EB5782"/>
    <w:rsid w:val="00EB57E9"/>
    <w:rsid w:val="00EB582C"/>
    <w:rsid w:val="00EB58D5"/>
    <w:rsid w:val="00EB60DE"/>
    <w:rsid w:val="00EB6494"/>
    <w:rsid w:val="00EB75D2"/>
    <w:rsid w:val="00EC0060"/>
    <w:rsid w:val="00EC138E"/>
    <w:rsid w:val="00EC1874"/>
    <w:rsid w:val="00EC3482"/>
    <w:rsid w:val="00EC54F9"/>
    <w:rsid w:val="00EC5975"/>
    <w:rsid w:val="00EC5B15"/>
    <w:rsid w:val="00ED0DA4"/>
    <w:rsid w:val="00ED0EEE"/>
    <w:rsid w:val="00ED15C0"/>
    <w:rsid w:val="00ED22E9"/>
    <w:rsid w:val="00ED2726"/>
    <w:rsid w:val="00ED2806"/>
    <w:rsid w:val="00ED40D1"/>
    <w:rsid w:val="00ED51BE"/>
    <w:rsid w:val="00EE1257"/>
    <w:rsid w:val="00EE206E"/>
    <w:rsid w:val="00EE2EF2"/>
    <w:rsid w:val="00EE31AE"/>
    <w:rsid w:val="00EE3857"/>
    <w:rsid w:val="00EE39C2"/>
    <w:rsid w:val="00EE6050"/>
    <w:rsid w:val="00EE6CA9"/>
    <w:rsid w:val="00EE7A19"/>
    <w:rsid w:val="00EF0BDB"/>
    <w:rsid w:val="00EF1B23"/>
    <w:rsid w:val="00EF60CA"/>
    <w:rsid w:val="00EF7646"/>
    <w:rsid w:val="00EF7B1F"/>
    <w:rsid w:val="00F00B23"/>
    <w:rsid w:val="00F01959"/>
    <w:rsid w:val="00F0349D"/>
    <w:rsid w:val="00F039D4"/>
    <w:rsid w:val="00F06ACE"/>
    <w:rsid w:val="00F07C97"/>
    <w:rsid w:val="00F13B7C"/>
    <w:rsid w:val="00F146FE"/>
    <w:rsid w:val="00F158BE"/>
    <w:rsid w:val="00F16AC9"/>
    <w:rsid w:val="00F16BA1"/>
    <w:rsid w:val="00F17EB6"/>
    <w:rsid w:val="00F2030D"/>
    <w:rsid w:val="00F210DD"/>
    <w:rsid w:val="00F2174C"/>
    <w:rsid w:val="00F22851"/>
    <w:rsid w:val="00F22F08"/>
    <w:rsid w:val="00F23FD0"/>
    <w:rsid w:val="00F256D9"/>
    <w:rsid w:val="00F26BBA"/>
    <w:rsid w:val="00F26C98"/>
    <w:rsid w:val="00F27567"/>
    <w:rsid w:val="00F30DFE"/>
    <w:rsid w:val="00F31245"/>
    <w:rsid w:val="00F312B3"/>
    <w:rsid w:val="00F314D4"/>
    <w:rsid w:val="00F333B1"/>
    <w:rsid w:val="00F368EF"/>
    <w:rsid w:val="00F4088C"/>
    <w:rsid w:val="00F40F55"/>
    <w:rsid w:val="00F41C47"/>
    <w:rsid w:val="00F420F1"/>
    <w:rsid w:val="00F44F3C"/>
    <w:rsid w:val="00F47C95"/>
    <w:rsid w:val="00F50951"/>
    <w:rsid w:val="00F50FB6"/>
    <w:rsid w:val="00F55014"/>
    <w:rsid w:val="00F5528C"/>
    <w:rsid w:val="00F561D9"/>
    <w:rsid w:val="00F5670E"/>
    <w:rsid w:val="00F567C8"/>
    <w:rsid w:val="00F61AFF"/>
    <w:rsid w:val="00F62D92"/>
    <w:rsid w:val="00F63AE4"/>
    <w:rsid w:val="00F63C54"/>
    <w:rsid w:val="00F64D3A"/>
    <w:rsid w:val="00F64EA6"/>
    <w:rsid w:val="00F6744C"/>
    <w:rsid w:val="00F7006C"/>
    <w:rsid w:val="00F72953"/>
    <w:rsid w:val="00F75475"/>
    <w:rsid w:val="00F75DD4"/>
    <w:rsid w:val="00F761FD"/>
    <w:rsid w:val="00F8062F"/>
    <w:rsid w:val="00F815A2"/>
    <w:rsid w:val="00F81D98"/>
    <w:rsid w:val="00F8399D"/>
    <w:rsid w:val="00F843EF"/>
    <w:rsid w:val="00F8576D"/>
    <w:rsid w:val="00F8599D"/>
    <w:rsid w:val="00F87DB4"/>
    <w:rsid w:val="00F90ECB"/>
    <w:rsid w:val="00F90EFC"/>
    <w:rsid w:val="00F94A5C"/>
    <w:rsid w:val="00F95E8B"/>
    <w:rsid w:val="00F9615F"/>
    <w:rsid w:val="00F96161"/>
    <w:rsid w:val="00F96631"/>
    <w:rsid w:val="00F9675F"/>
    <w:rsid w:val="00F96835"/>
    <w:rsid w:val="00F974E3"/>
    <w:rsid w:val="00F97663"/>
    <w:rsid w:val="00FA1E18"/>
    <w:rsid w:val="00FA38A0"/>
    <w:rsid w:val="00FA4643"/>
    <w:rsid w:val="00FA5D21"/>
    <w:rsid w:val="00FA5FE8"/>
    <w:rsid w:val="00FA62B2"/>
    <w:rsid w:val="00FA6481"/>
    <w:rsid w:val="00FB1B82"/>
    <w:rsid w:val="00FB2141"/>
    <w:rsid w:val="00FB229F"/>
    <w:rsid w:val="00FB3B39"/>
    <w:rsid w:val="00FB494B"/>
    <w:rsid w:val="00FB4E0D"/>
    <w:rsid w:val="00FB5170"/>
    <w:rsid w:val="00FB5DC8"/>
    <w:rsid w:val="00FB6936"/>
    <w:rsid w:val="00FB69D1"/>
    <w:rsid w:val="00FB6CA5"/>
    <w:rsid w:val="00FB74F3"/>
    <w:rsid w:val="00FC0CD8"/>
    <w:rsid w:val="00FC1B86"/>
    <w:rsid w:val="00FC1ECF"/>
    <w:rsid w:val="00FC363A"/>
    <w:rsid w:val="00FC4EDF"/>
    <w:rsid w:val="00FC6546"/>
    <w:rsid w:val="00FD051F"/>
    <w:rsid w:val="00FD2F59"/>
    <w:rsid w:val="00FD36D3"/>
    <w:rsid w:val="00FD534C"/>
    <w:rsid w:val="00FD5388"/>
    <w:rsid w:val="00FD55D3"/>
    <w:rsid w:val="00FE0B83"/>
    <w:rsid w:val="00FE2050"/>
    <w:rsid w:val="00FE61B8"/>
    <w:rsid w:val="00FE6E21"/>
    <w:rsid w:val="00FF1231"/>
    <w:rsid w:val="00FF258C"/>
    <w:rsid w:val="00FF2845"/>
    <w:rsid w:val="00FF4AC3"/>
    <w:rsid w:val="00FF537A"/>
    <w:rsid w:val="00FF5459"/>
    <w:rsid w:val="00FF5757"/>
    <w:rsid w:val="00FF6887"/>
    <w:rsid w:val="00FF7530"/>
    <w:rsid w:val="01393D82"/>
    <w:rsid w:val="0DCB3E31"/>
    <w:rsid w:val="364805EE"/>
    <w:rsid w:val="3BB836C9"/>
    <w:rsid w:val="5EA62546"/>
    <w:rsid w:val="64215067"/>
    <w:rsid w:val="79EA2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99" w:semiHidden="0"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9"/>
    <w:qFormat/>
    <w:uiPriority w:val="99"/>
    <w:pPr>
      <w:keepNext/>
      <w:ind w:firstLine="6720" w:firstLineChars="800"/>
      <w:outlineLvl w:val="0"/>
    </w:pPr>
    <w:rPr>
      <w:kern w:val="0"/>
      <w:sz w:val="20"/>
      <w:szCs w:val="20"/>
    </w:rPr>
  </w:style>
  <w:style w:type="paragraph" w:styleId="3">
    <w:name w:val="heading 2"/>
    <w:basedOn w:val="1"/>
    <w:next w:val="1"/>
    <w:link w:val="30"/>
    <w:qFormat/>
    <w:uiPriority w:val="99"/>
    <w:pPr>
      <w:keepNext/>
      <w:jc w:val="center"/>
      <w:outlineLvl w:val="1"/>
    </w:pPr>
    <w:rPr>
      <w:kern w:val="0"/>
      <w:sz w:val="20"/>
      <w:szCs w:val="20"/>
    </w:rPr>
  </w:style>
  <w:style w:type="paragraph" w:styleId="4">
    <w:name w:val="heading 3"/>
    <w:basedOn w:val="1"/>
    <w:next w:val="1"/>
    <w:link w:val="31"/>
    <w:qFormat/>
    <w:uiPriority w:val="99"/>
    <w:pPr>
      <w:keepNext/>
      <w:outlineLvl w:val="2"/>
    </w:pPr>
    <w:rPr>
      <w:kern w:val="0"/>
      <w:sz w:val="20"/>
      <w:szCs w:val="20"/>
    </w:rPr>
  </w:style>
  <w:style w:type="paragraph" w:styleId="5">
    <w:name w:val="heading 4"/>
    <w:basedOn w:val="1"/>
    <w:next w:val="1"/>
    <w:link w:val="57"/>
    <w:semiHidden/>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2"/>
    <w:unhideWhenUsed/>
    <w:qFormat/>
    <w:uiPriority w:val="99"/>
    <w:pPr>
      <w:jc w:val="left"/>
    </w:pPr>
  </w:style>
  <w:style w:type="paragraph" w:styleId="7">
    <w:name w:val="Block Text"/>
    <w:basedOn w:val="1"/>
    <w:qFormat/>
    <w:uiPriority w:val="99"/>
    <w:pPr>
      <w:ind w:left="-1418" w:right="-1558" w:firstLine="1418"/>
    </w:pPr>
    <w:rPr>
      <w:sz w:val="28"/>
      <w:szCs w:val="20"/>
    </w:rPr>
  </w:style>
  <w:style w:type="paragraph" w:styleId="8">
    <w:name w:val="toc 3"/>
    <w:basedOn w:val="1"/>
    <w:next w:val="1"/>
    <w:autoRedefine/>
    <w:unhideWhenUsed/>
    <w:qFormat/>
    <w:locked/>
    <w:uiPriority w:val="39"/>
    <w:pPr>
      <w:widowControl/>
      <w:spacing w:after="100" w:line="259" w:lineRule="auto"/>
      <w:ind w:left="440"/>
      <w:jc w:val="left"/>
    </w:pPr>
    <w:rPr>
      <w:rFonts w:asciiTheme="minorHAnsi" w:hAnsiTheme="minorHAnsi" w:eastAsiaTheme="minorEastAsia"/>
      <w:kern w:val="0"/>
      <w:sz w:val="22"/>
      <w:szCs w:val="22"/>
    </w:rPr>
  </w:style>
  <w:style w:type="paragraph" w:styleId="9">
    <w:name w:val="Plain Text"/>
    <w:basedOn w:val="1"/>
    <w:link w:val="33"/>
    <w:qFormat/>
    <w:uiPriority w:val="0"/>
    <w:rPr>
      <w:rFonts w:ascii="宋体" w:hAnsi="Courier New"/>
      <w:szCs w:val="20"/>
    </w:rPr>
  </w:style>
  <w:style w:type="paragraph" w:styleId="10">
    <w:name w:val="Date"/>
    <w:basedOn w:val="1"/>
    <w:next w:val="1"/>
    <w:link w:val="34"/>
    <w:qFormat/>
    <w:uiPriority w:val="99"/>
    <w:pPr>
      <w:ind w:left="100" w:leftChars="2500"/>
    </w:pPr>
    <w:rPr>
      <w:kern w:val="0"/>
      <w:sz w:val="24"/>
      <w:szCs w:val="24"/>
    </w:rPr>
  </w:style>
  <w:style w:type="paragraph" w:styleId="11">
    <w:name w:val="Body Text Indent 2"/>
    <w:basedOn w:val="1"/>
    <w:link w:val="65"/>
    <w:qFormat/>
    <w:uiPriority w:val="0"/>
    <w:pPr>
      <w:ind w:firstLine="10270" w:firstLineChars="1975"/>
    </w:pPr>
    <w:rPr>
      <w:rFonts w:ascii="宋体"/>
      <w:sz w:val="52"/>
      <w:szCs w:val="24"/>
    </w:rPr>
  </w:style>
  <w:style w:type="paragraph" w:styleId="12">
    <w:name w:val="endnote text"/>
    <w:basedOn w:val="1"/>
    <w:link w:val="58"/>
    <w:semiHidden/>
    <w:unhideWhenUsed/>
    <w:qFormat/>
    <w:uiPriority w:val="99"/>
    <w:pPr>
      <w:snapToGrid w:val="0"/>
      <w:jc w:val="left"/>
    </w:pPr>
  </w:style>
  <w:style w:type="paragraph" w:styleId="13">
    <w:name w:val="Balloon Text"/>
    <w:basedOn w:val="1"/>
    <w:link w:val="35"/>
    <w:semiHidden/>
    <w:qFormat/>
    <w:uiPriority w:val="99"/>
    <w:rPr>
      <w:rFonts w:eastAsia="仿宋_GB2312"/>
      <w:kern w:val="0"/>
      <w:sz w:val="18"/>
      <w:szCs w:val="18"/>
    </w:rPr>
  </w:style>
  <w:style w:type="paragraph" w:styleId="14">
    <w:name w:val="footer"/>
    <w:basedOn w:val="1"/>
    <w:link w:val="36"/>
    <w:qFormat/>
    <w:uiPriority w:val="99"/>
    <w:pPr>
      <w:tabs>
        <w:tab w:val="center" w:pos="4153"/>
        <w:tab w:val="right" w:pos="8306"/>
      </w:tabs>
      <w:snapToGrid w:val="0"/>
      <w:jc w:val="left"/>
    </w:pPr>
    <w:rPr>
      <w:kern w:val="0"/>
      <w:sz w:val="18"/>
      <w:szCs w:val="18"/>
    </w:rPr>
  </w:style>
  <w:style w:type="paragraph" w:styleId="15">
    <w:name w:val="header"/>
    <w:basedOn w:val="1"/>
    <w:link w:val="37"/>
    <w:qFormat/>
    <w:uiPriority w:val="0"/>
    <w:pPr>
      <w:pBdr>
        <w:bottom w:val="single" w:color="auto" w:sz="6" w:space="1"/>
      </w:pBdr>
      <w:tabs>
        <w:tab w:val="center" w:pos="4153"/>
        <w:tab w:val="right" w:pos="8306"/>
      </w:tabs>
      <w:snapToGrid w:val="0"/>
      <w:jc w:val="center"/>
    </w:pPr>
    <w:rPr>
      <w:kern w:val="0"/>
      <w:sz w:val="18"/>
      <w:szCs w:val="18"/>
    </w:rPr>
  </w:style>
  <w:style w:type="paragraph" w:styleId="16">
    <w:name w:val="toc 1"/>
    <w:basedOn w:val="1"/>
    <w:next w:val="1"/>
    <w:qFormat/>
    <w:locked/>
    <w:uiPriority w:val="39"/>
  </w:style>
  <w:style w:type="paragraph" w:styleId="17">
    <w:name w:val="toc 2"/>
    <w:basedOn w:val="1"/>
    <w:next w:val="1"/>
    <w:qFormat/>
    <w:locked/>
    <w:uiPriority w:val="39"/>
    <w:pPr>
      <w:ind w:left="420" w:leftChars="200"/>
    </w:pPr>
    <w:rPr>
      <w:szCs w:val="24"/>
    </w:rPr>
  </w:style>
  <w:style w:type="paragraph" w:styleId="1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9">
    <w:name w:val="annotation subject"/>
    <w:basedOn w:val="6"/>
    <w:next w:val="6"/>
    <w:link w:val="38"/>
    <w:unhideWhenUsed/>
    <w:qFormat/>
    <w:uiPriority w:val="99"/>
    <w:rPr>
      <w:b/>
      <w:bCs/>
    </w:rPr>
  </w:style>
  <w:style w:type="table" w:styleId="21">
    <w:name w:val="Table Grid"/>
    <w:basedOn w:val="20"/>
    <w:qFormat/>
    <w:locked/>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locked/>
    <w:uiPriority w:val="22"/>
    <w:rPr>
      <w:rFonts w:ascii="黑体" w:hAnsi="黑体" w:eastAsia="宋体"/>
      <w:sz w:val="24"/>
    </w:rPr>
  </w:style>
  <w:style w:type="character" w:styleId="24">
    <w:name w:val="endnote reference"/>
    <w:basedOn w:val="22"/>
    <w:semiHidden/>
    <w:unhideWhenUsed/>
    <w:qFormat/>
    <w:uiPriority w:val="99"/>
    <w:rPr>
      <w:vertAlign w:val="superscript"/>
    </w:rPr>
  </w:style>
  <w:style w:type="character" w:styleId="25">
    <w:name w:val="page number"/>
    <w:qFormat/>
    <w:uiPriority w:val="99"/>
    <w:rPr>
      <w:rFonts w:eastAsia="仿宋_GB2312"/>
      <w:sz w:val="24"/>
      <w:szCs w:val="24"/>
    </w:rPr>
  </w:style>
  <w:style w:type="character" w:styleId="26">
    <w:name w:val="Emphasis"/>
    <w:qFormat/>
    <w:locked/>
    <w:uiPriority w:val="0"/>
    <w:rPr>
      <w:i/>
      <w:iCs/>
    </w:rPr>
  </w:style>
  <w:style w:type="character" w:styleId="27">
    <w:name w:val="Hyperlink"/>
    <w:qFormat/>
    <w:uiPriority w:val="99"/>
    <w:rPr>
      <w:color w:val="0000FF"/>
      <w:u w:val="single"/>
    </w:rPr>
  </w:style>
  <w:style w:type="character" w:styleId="28">
    <w:name w:val="annotation reference"/>
    <w:unhideWhenUsed/>
    <w:qFormat/>
    <w:uiPriority w:val="99"/>
    <w:rPr>
      <w:sz w:val="21"/>
      <w:szCs w:val="21"/>
    </w:rPr>
  </w:style>
  <w:style w:type="character" w:customStyle="1" w:styleId="29">
    <w:name w:val="标题 1 字符"/>
    <w:link w:val="2"/>
    <w:qFormat/>
    <w:locked/>
    <w:uiPriority w:val="99"/>
    <w:rPr>
      <w:rFonts w:ascii="Times New Roman" w:hAnsi="Times New Roman" w:eastAsia="宋体" w:cs="Times New Roman"/>
      <w:kern w:val="0"/>
      <w:sz w:val="20"/>
      <w:szCs w:val="20"/>
    </w:rPr>
  </w:style>
  <w:style w:type="character" w:customStyle="1" w:styleId="30">
    <w:name w:val="标题 2 字符"/>
    <w:link w:val="3"/>
    <w:qFormat/>
    <w:locked/>
    <w:uiPriority w:val="99"/>
    <w:rPr>
      <w:rFonts w:ascii="Times New Roman" w:hAnsi="Times New Roman" w:eastAsia="宋体" w:cs="Times New Roman"/>
      <w:kern w:val="0"/>
      <w:sz w:val="20"/>
      <w:szCs w:val="20"/>
    </w:rPr>
  </w:style>
  <w:style w:type="character" w:customStyle="1" w:styleId="31">
    <w:name w:val="标题 3 字符"/>
    <w:link w:val="4"/>
    <w:qFormat/>
    <w:locked/>
    <w:uiPriority w:val="99"/>
    <w:rPr>
      <w:rFonts w:ascii="Times New Roman" w:hAnsi="Times New Roman" w:eastAsia="宋体" w:cs="Times New Roman"/>
      <w:kern w:val="0"/>
      <w:sz w:val="20"/>
      <w:szCs w:val="20"/>
    </w:rPr>
  </w:style>
  <w:style w:type="character" w:customStyle="1" w:styleId="32">
    <w:name w:val="批注文字 字符"/>
    <w:link w:val="6"/>
    <w:semiHidden/>
    <w:qFormat/>
    <w:uiPriority w:val="99"/>
    <w:rPr>
      <w:rFonts w:ascii="Times New Roman" w:hAnsi="Times New Roman"/>
      <w:kern w:val="2"/>
      <w:sz w:val="21"/>
      <w:szCs w:val="21"/>
    </w:rPr>
  </w:style>
  <w:style w:type="character" w:customStyle="1" w:styleId="33">
    <w:name w:val="纯文本 字符"/>
    <w:link w:val="9"/>
    <w:qFormat/>
    <w:uiPriority w:val="0"/>
    <w:rPr>
      <w:rFonts w:ascii="宋体" w:hAnsi="Courier New"/>
      <w:kern w:val="2"/>
      <w:sz w:val="21"/>
    </w:rPr>
  </w:style>
  <w:style w:type="character" w:customStyle="1" w:styleId="34">
    <w:name w:val="日期 字符"/>
    <w:link w:val="10"/>
    <w:qFormat/>
    <w:locked/>
    <w:uiPriority w:val="99"/>
    <w:rPr>
      <w:rFonts w:ascii="Times New Roman" w:hAnsi="Times New Roman" w:eastAsia="宋体" w:cs="Times New Roman"/>
      <w:sz w:val="24"/>
      <w:szCs w:val="24"/>
    </w:rPr>
  </w:style>
  <w:style w:type="character" w:customStyle="1" w:styleId="35">
    <w:name w:val="批注框文本 字符"/>
    <w:link w:val="13"/>
    <w:semiHidden/>
    <w:qFormat/>
    <w:locked/>
    <w:uiPriority w:val="99"/>
    <w:rPr>
      <w:rFonts w:ascii="Times New Roman" w:hAnsi="Times New Roman" w:eastAsia="仿宋_GB2312" w:cs="Times New Roman"/>
      <w:sz w:val="18"/>
      <w:szCs w:val="18"/>
    </w:rPr>
  </w:style>
  <w:style w:type="character" w:customStyle="1" w:styleId="36">
    <w:name w:val="页脚 字符"/>
    <w:link w:val="14"/>
    <w:qFormat/>
    <w:locked/>
    <w:uiPriority w:val="99"/>
    <w:rPr>
      <w:rFonts w:ascii="Times New Roman" w:hAnsi="Times New Roman" w:eastAsia="宋体" w:cs="Times New Roman"/>
      <w:sz w:val="18"/>
      <w:szCs w:val="18"/>
    </w:rPr>
  </w:style>
  <w:style w:type="character" w:customStyle="1" w:styleId="37">
    <w:name w:val="页眉 字符"/>
    <w:link w:val="15"/>
    <w:qFormat/>
    <w:locked/>
    <w:uiPriority w:val="99"/>
    <w:rPr>
      <w:rFonts w:ascii="Times New Roman" w:hAnsi="Times New Roman" w:eastAsia="宋体" w:cs="Times New Roman"/>
      <w:sz w:val="18"/>
      <w:szCs w:val="18"/>
    </w:rPr>
  </w:style>
  <w:style w:type="character" w:customStyle="1" w:styleId="38">
    <w:name w:val="批注主题 字符"/>
    <w:link w:val="19"/>
    <w:semiHidden/>
    <w:qFormat/>
    <w:uiPriority w:val="99"/>
    <w:rPr>
      <w:rFonts w:ascii="Times New Roman" w:hAnsi="Times New Roman"/>
      <w:b/>
      <w:bCs/>
      <w:kern w:val="2"/>
      <w:sz w:val="21"/>
      <w:szCs w:val="21"/>
    </w:rPr>
  </w:style>
  <w:style w:type="character" w:customStyle="1" w:styleId="39">
    <w:name w:val="Date Char1"/>
    <w:semiHidden/>
    <w:qFormat/>
    <w:uiPriority w:val="99"/>
    <w:rPr>
      <w:rFonts w:ascii="Times New Roman" w:hAnsi="Times New Roman"/>
      <w:szCs w:val="21"/>
    </w:rPr>
  </w:style>
  <w:style w:type="character" w:customStyle="1" w:styleId="40">
    <w:name w:val="日期 Char1"/>
    <w:semiHidden/>
    <w:qFormat/>
    <w:uiPriority w:val="99"/>
    <w:rPr>
      <w:rFonts w:ascii="Times New Roman" w:hAnsi="Times New Roman" w:eastAsia="宋体" w:cs="Times New Roman"/>
      <w:sz w:val="24"/>
      <w:szCs w:val="24"/>
    </w:rPr>
  </w:style>
  <w:style w:type="character" w:customStyle="1" w:styleId="41">
    <w:name w:val="Footer Char1"/>
    <w:semiHidden/>
    <w:qFormat/>
    <w:uiPriority w:val="99"/>
    <w:rPr>
      <w:rFonts w:ascii="Times New Roman" w:hAnsi="Times New Roman"/>
      <w:sz w:val="18"/>
      <w:szCs w:val="18"/>
    </w:rPr>
  </w:style>
  <w:style w:type="character" w:customStyle="1" w:styleId="42">
    <w:name w:val="页脚 Char1"/>
    <w:semiHidden/>
    <w:qFormat/>
    <w:uiPriority w:val="99"/>
    <w:rPr>
      <w:rFonts w:ascii="Times New Roman" w:hAnsi="Times New Roman" w:eastAsia="宋体" w:cs="Times New Roman"/>
      <w:sz w:val="18"/>
      <w:szCs w:val="18"/>
    </w:rPr>
  </w:style>
  <w:style w:type="character" w:customStyle="1" w:styleId="43">
    <w:name w:val="Header Char1"/>
    <w:semiHidden/>
    <w:qFormat/>
    <w:uiPriority w:val="99"/>
    <w:rPr>
      <w:rFonts w:ascii="Times New Roman" w:hAnsi="Times New Roman"/>
      <w:sz w:val="18"/>
      <w:szCs w:val="18"/>
    </w:rPr>
  </w:style>
  <w:style w:type="character" w:customStyle="1" w:styleId="44">
    <w:name w:val="页眉 Char1"/>
    <w:semiHidden/>
    <w:qFormat/>
    <w:uiPriority w:val="99"/>
    <w:rPr>
      <w:rFonts w:ascii="Times New Roman" w:hAnsi="Times New Roman" w:eastAsia="宋体" w:cs="Times New Roman"/>
      <w:sz w:val="18"/>
      <w:szCs w:val="18"/>
    </w:rPr>
  </w:style>
  <w:style w:type="paragraph" w:customStyle="1" w:styleId="45">
    <w:name w:val="Char Char Char Char Char Char Char Char Char Char Char Char Char"/>
    <w:basedOn w:val="1"/>
    <w:qFormat/>
    <w:uiPriority w:val="99"/>
    <w:pPr>
      <w:snapToGrid w:val="0"/>
      <w:spacing w:line="360" w:lineRule="auto"/>
      <w:ind w:firstLine="200" w:firstLineChars="200"/>
    </w:pPr>
    <w:rPr>
      <w:rFonts w:eastAsia="仿宋_GB2312"/>
      <w:sz w:val="24"/>
      <w:szCs w:val="24"/>
    </w:rPr>
  </w:style>
  <w:style w:type="character" w:styleId="46">
    <w:name w:val="Placeholder Text"/>
    <w:semiHidden/>
    <w:qFormat/>
    <w:uiPriority w:val="99"/>
    <w:rPr>
      <w:rFonts w:eastAsia="仿宋_GB2312"/>
      <w:color w:val="808080"/>
      <w:sz w:val="24"/>
      <w:szCs w:val="24"/>
    </w:rPr>
  </w:style>
  <w:style w:type="paragraph" w:customStyle="1" w:styleId="47">
    <w:name w:val="默认段落字体 Para Char"/>
    <w:basedOn w:val="1"/>
    <w:qFormat/>
    <w:uiPriority w:val="0"/>
    <w:rPr>
      <w:rFonts w:ascii="Tahoma" w:hAnsi="Tahoma"/>
      <w:iCs/>
      <w:sz w:val="24"/>
      <w:szCs w:val="20"/>
    </w:rPr>
  </w:style>
  <w:style w:type="paragraph" w:customStyle="1" w:styleId="48">
    <w:name w:val="Char"/>
    <w:basedOn w:val="1"/>
    <w:qFormat/>
    <w:uiPriority w:val="0"/>
    <w:rPr>
      <w:szCs w:val="24"/>
    </w:rPr>
  </w:style>
  <w:style w:type="paragraph" w:customStyle="1" w:styleId="49">
    <w:name w:val="修订1"/>
    <w:semiHidden/>
    <w:qFormat/>
    <w:uiPriority w:val="99"/>
    <w:rPr>
      <w:rFonts w:ascii="Times New Roman" w:hAnsi="Times New Roman" w:eastAsia="宋体" w:cs="Times New Roman"/>
      <w:kern w:val="2"/>
      <w:sz w:val="21"/>
      <w:szCs w:val="21"/>
      <w:lang w:val="en-US" w:eastAsia="zh-CN" w:bidi="ar-SA"/>
    </w:rPr>
  </w:style>
  <w:style w:type="paragraph" w:customStyle="1" w:styleId="50">
    <w:name w:val="标准文件_段"/>
    <w:qFormat/>
    <w:uiPriority w:val="0"/>
    <w:pPr>
      <w:autoSpaceDE w:val="0"/>
      <w:autoSpaceDN w:val="0"/>
      <w:spacing w:line="360" w:lineRule="auto"/>
      <w:ind w:firstLine="560" w:firstLineChars="200"/>
    </w:pPr>
    <w:rPr>
      <w:rFonts w:ascii="Times New Roman" w:hAnsi="Times New Roman" w:eastAsia="黑体" w:cs="Times New Roman"/>
      <w:spacing w:val="2"/>
      <w:sz w:val="24"/>
      <w:szCs w:val="24"/>
      <w:lang w:val="en-US" w:eastAsia="zh-CN" w:bidi="ar-SA"/>
    </w:rPr>
  </w:style>
  <w:style w:type="character" w:customStyle="1" w:styleId="51">
    <w:name w:val="?附录 Char"/>
    <w:link w:val="52"/>
    <w:qFormat/>
    <w:uiPriority w:val="0"/>
    <w:rPr>
      <w:kern w:val="2"/>
      <w:sz w:val="21"/>
      <w:szCs w:val="24"/>
    </w:rPr>
  </w:style>
  <w:style w:type="paragraph" w:customStyle="1" w:styleId="52">
    <w:name w:val="?附录"/>
    <w:basedOn w:val="1"/>
    <w:next w:val="4"/>
    <w:link w:val="51"/>
    <w:qFormat/>
    <w:uiPriority w:val="0"/>
    <w:pPr>
      <w:tabs>
        <w:tab w:val="left" w:pos="360"/>
      </w:tabs>
      <w:spacing w:line="360" w:lineRule="auto"/>
    </w:pPr>
    <w:rPr>
      <w:rFonts w:ascii="Calibri" w:hAnsi="Calibri"/>
      <w:szCs w:val="24"/>
    </w:rPr>
  </w:style>
  <w:style w:type="character" w:customStyle="1" w:styleId="53">
    <w:name w:val="编制说明标题 字符"/>
    <w:link w:val="54"/>
    <w:qFormat/>
    <w:uiPriority w:val="0"/>
    <w:rPr>
      <w:rFonts w:ascii="宋体" w:hAnsi="宋体"/>
      <w:b/>
      <w:kern w:val="2"/>
      <w:sz w:val="24"/>
      <w:szCs w:val="24"/>
    </w:rPr>
  </w:style>
  <w:style w:type="paragraph" w:customStyle="1" w:styleId="54">
    <w:name w:val="编制说明标题"/>
    <w:basedOn w:val="1"/>
    <w:link w:val="53"/>
    <w:qFormat/>
    <w:uiPriority w:val="0"/>
    <w:pPr>
      <w:spacing w:before="150" w:beforeLines="150" w:line="360" w:lineRule="auto"/>
      <w:outlineLvl w:val="0"/>
    </w:pPr>
    <w:rPr>
      <w:rFonts w:ascii="宋体" w:hAnsi="宋体"/>
      <w:b/>
      <w:sz w:val="24"/>
      <w:szCs w:val="24"/>
    </w:rPr>
  </w:style>
  <w:style w:type="paragraph" w:customStyle="1" w:styleId="55">
    <w:name w:val="章标题"/>
    <w:next w:val="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styleId="56">
    <w:name w:val="List Paragraph"/>
    <w:basedOn w:val="1"/>
    <w:qFormat/>
    <w:uiPriority w:val="99"/>
    <w:pPr>
      <w:ind w:firstLine="420" w:firstLineChars="200"/>
    </w:pPr>
  </w:style>
  <w:style w:type="character" w:customStyle="1" w:styleId="57">
    <w:name w:val="标题 4 字符"/>
    <w:basedOn w:val="22"/>
    <w:link w:val="5"/>
    <w:semiHidden/>
    <w:qFormat/>
    <w:uiPriority w:val="0"/>
    <w:rPr>
      <w:rFonts w:asciiTheme="majorHAnsi" w:hAnsiTheme="majorHAnsi" w:eastAsiaTheme="majorEastAsia" w:cstheme="majorBidi"/>
      <w:b/>
      <w:bCs/>
      <w:kern w:val="2"/>
      <w:sz w:val="28"/>
      <w:szCs w:val="28"/>
    </w:rPr>
  </w:style>
  <w:style w:type="character" w:customStyle="1" w:styleId="58">
    <w:name w:val="尾注文本 字符"/>
    <w:basedOn w:val="22"/>
    <w:link w:val="12"/>
    <w:semiHidden/>
    <w:qFormat/>
    <w:uiPriority w:val="99"/>
    <w:rPr>
      <w:rFonts w:ascii="Times New Roman" w:hAnsi="Times New Roman"/>
      <w:kern w:val="2"/>
      <w:sz w:val="21"/>
      <w:szCs w:val="21"/>
    </w:rPr>
  </w:style>
  <w:style w:type="paragraph" w:customStyle="1" w:styleId="59">
    <w:name w:val="公式"/>
    <w:next w:val="1"/>
    <w:link w:val="60"/>
    <w:qFormat/>
    <w:uiPriority w:val="0"/>
    <w:pPr>
      <w:tabs>
        <w:tab w:val="center" w:pos="4320"/>
        <w:tab w:val="right" w:pos="8640"/>
      </w:tabs>
      <w:spacing w:before="120" w:after="120"/>
      <w:ind w:firstLine="482"/>
    </w:pPr>
    <w:rPr>
      <w:rFonts w:ascii="Times New Roman" w:hAnsi="Times New Roman" w:eastAsia="宋体" w:cstheme="minorBidi"/>
      <w:kern w:val="2"/>
      <w:sz w:val="24"/>
      <w:szCs w:val="22"/>
      <w:lang w:val="en-US" w:eastAsia="zh-CN" w:bidi="ar-SA"/>
    </w:rPr>
  </w:style>
  <w:style w:type="character" w:customStyle="1" w:styleId="60">
    <w:name w:val="公式 字符"/>
    <w:basedOn w:val="22"/>
    <w:link w:val="59"/>
    <w:qFormat/>
    <w:uiPriority w:val="0"/>
    <w:rPr>
      <w:rFonts w:ascii="Times New Roman" w:hAnsi="Times New Roman" w:cstheme="minorBidi"/>
      <w:kern w:val="2"/>
      <w:sz w:val="24"/>
      <w:szCs w:val="22"/>
    </w:rPr>
  </w:style>
  <w:style w:type="character" w:customStyle="1" w:styleId="61">
    <w:name w:val="font01"/>
    <w:basedOn w:val="22"/>
    <w:qFormat/>
    <w:uiPriority w:val="0"/>
    <w:rPr>
      <w:rFonts w:hint="eastAsia" w:ascii="宋体" w:hAnsi="宋体" w:eastAsia="宋体" w:cs="宋体"/>
      <w:color w:val="000000"/>
      <w:sz w:val="22"/>
      <w:szCs w:val="22"/>
      <w:u w:val="none"/>
    </w:rPr>
  </w:style>
  <w:style w:type="character" w:customStyle="1" w:styleId="62">
    <w:name w:val="font11"/>
    <w:basedOn w:val="22"/>
    <w:qFormat/>
    <w:uiPriority w:val="0"/>
    <w:rPr>
      <w:rFonts w:hint="default" w:ascii="Times New Roman" w:hAnsi="Times New Roman" w:cs="Times New Roman"/>
      <w:color w:val="000000"/>
      <w:sz w:val="22"/>
      <w:szCs w:val="22"/>
      <w:u w:val="none"/>
    </w:rPr>
  </w:style>
  <w:style w:type="paragraph" w:customStyle="1" w:styleId="63">
    <w:name w:val="TOC 标题1"/>
    <w:basedOn w:val="2"/>
    <w:next w:val="1"/>
    <w:unhideWhenUsed/>
    <w:qFormat/>
    <w:uiPriority w:val="39"/>
    <w:pPr>
      <w:keepLines/>
      <w:widowControl/>
      <w:spacing w:before="240" w:line="259" w:lineRule="auto"/>
      <w:ind w:firstLine="0" w:firstLineChars="0"/>
      <w:jc w:val="left"/>
      <w:outlineLvl w:val="9"/>
    </w:pPr>
    <w:rPr>
      <w:rFonts w:asciiTheme="majorHAnsi" w:hAnsiTheme="majorHAnsi" w:eastAsiaTheme="majorEastAsia" w:cstheme="majorBidi"/>
      <w:color w:val="2F5597" w:themeColor="accent1" w:themeShade="BF"/>
      <w:sz w:val="32"/>
      <w:szCs w:val="32"/>
    </w:rPr>
  </w:style>
  <w:style w:type="paragraph" w:customStyle="1" w:styleId="64">
    <w:name w:val="修订2"/>
    <w:hidden/>
    <w:unhideWhenUsed/>
    <w:qFormat/>
    <w:uiPriority w:val="99"/>
    <w:rPr>
      <w:rFonts w:ascii="Times New Roman" w:hAnsi="Times New Roman" w:eastAsia="宋体" w:cs="Times New Roman"/>
      <w:kern w:val="2"/>
      <w:sz w:val="21"/>
      <w:szCs w:val="21"/>
      <w:lang w:val="en-US" w:eastAsia="zh-CN" w:bidi="ar-SA"/>
    </w:rPr>
  </w:style>
  <w:style w:type="character" w:customStyle="1" w:styleId="65">
    <w:name w:val="正文文本缩进 2 字符"/>
    <w:basedOn w:val="22"/>
    <w:link w:val="11"/>
    <w:qFormat/>
    <w:uiPriority w:val="0"/>
    <w:rPr>
      <w:rFonts w:ascii="宋体"/>
      <w:kern w:val="2"/>
      <w:sz w:val="52"/>
      <w:szCs w:val="24"/>
    </w:rPr>
  </w:style>
  <w:style w:type="character" w:customStyle="1" w:styleId="66">
    <w:name w:val="cf01"/>
    <w:basedOn w:val="22"/>
    <w:qFormat/>
    <w:uiPriority w:val="0"/>
    <w:rPr>
      <w:rFonts w:hint="eastAsia" w:ascii="Microsoft YaHei UI" w:hAnsi="Microsoft YaHei UI" w:eastAsia="Microsoft YaHei UI"/>
      <w:sz w:val="18"/>
      <w:szCs w:val="18"/>
    </w:rPr>
  </w:style>
  <w:style w:type="paragraph" w:customStyle="1" w:styleId="67">
    <w:name w:val="列表段落1"/>
    <w:basedOn w:val="1"/>
    <w:qFormat/>
    <w:uiPriority w:val="0"/>
    <w:pPr>
      <w:spacing w:before="100" w:beforeAutospacing="1" w:after="160" w:line="276" w:lineRule="auto"/>
      <w:ind w:firstLine="420" w:firstLineChars="200"/>
      <w:jc w:val="left"/>
    </w:pPr>
    <w:rPr>
      <w:rFonts w:ascii="等线" w:hAnsi="等线" w:eastAsia="等线"/>
      <w:sz w:val="22"/>
      <w:szCs w:val="22"/>
    </w:rPr>
  </w:style>
  <w:style w:type="table" w:customStyle="1" w:styleId="68">
    <w:name w:val="Table Normal"/>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6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szCs w:val="24"/>
      <w:lang w:eastAsia="en-US"/>
    </w:rPr>
  </w:style>
  <w:style w:type="character" w:customStyle="1" w:styleId="70">
    <w:name w:val="mord"/>
    <w:basedOn w:val="22"/>
    <w:qFormat/>
    <w:uiPriority w:val="0"/>
  </w:style>
  <w:style w:type="character" w:customStyle="1" w:styleId="71">
    <w:name w:val="mopen"/>
    <w:basedOn w:val="22"/>
    <w:qFormat/>
    <w:uiPriority w:val="0"/>
  </w:style>
  <w:style w:type="character" w:customStyle="1" w:styleId="72">
    <w:name w:val="vlist-s"/>
    <w:basedOn w:val="22"/>
    <w:qFormat/>
    <w:uiPriority w:val="0"/>
  </w:style>
  <w:style w:type="character" w:customStyle="1" w:styleId="73">
    <w:name w:val="mclose"/>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wmf"/><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8C5BE-35FC-43B0-8E00-05759185C41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6474</Words>
  <Characters>7468</Characters>
  <Lines>591</Lines>
  <Paragraphs>572</Paragraphs>
  <TotalTime>2</TotalTime>
  <ScaleCrop>false</ScaleCrop>
  <LinksUpToDate>false</LinksUpToDate>
  <CharactersWithSpaces>8031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2025-05-14T14:31:00Z</dcterms:created>
  <dc:creator>FHX</dc:creator>
  <cp:lastModifiedBy>Bruis Kim</cp:lastModifiedBy>
  <cp:lastPrinted>2021-09-24T02:41:00Z</cp:lastPrinted>
  <dcterms:modified xsi:type="dcterms:W3CDTF">2025-09-15T15:05:29Z</dcterms:modified>
  <dc:title>中国测试技术研究院</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599078F07BA5440F83192B51C011F13F_13</vt:lpwstr>
  </property>
  <property fmtid="{D5CDD505-2E9C-101B-9397-08002B2CF9AE}" pid="4" name="KSOTemplateDocerSaveRecord">
    <vt:lpwstr>eyJoZGlkIjoiMzEwNTM5NzYwMDRjMzkwZTVkZjY2ODkwMGIxNGU0OTUiLCJ1c2VySWQiOiI1ODE2NTg3NjIifQ==</vt:lpwstr>
  </property>
</Properties>
</file>